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4A" w:rsidRDefault="003A314A" w:rsidP="00050ECF">
      <w:pPr>
        <w:autoSpaceDE w:val="0"/>
        <w:autoSpaceDN w:val="0"/>
        <w:adjustRightInd w:val="0"/>
        <w:spacing w:after="0" w:line="240" w:lineRule="auto"/>
        <w:rPr>
          <w:rFonts w:ascii="Constantia" w:hAnsi="Constantia" w:cs="Helvetica-Bold"/>
          <w:bCs/>
          <w:sz w:val="24"/>
          <w:szCs w:val="24"/>
        </w:rPr>
      </w:pPr>
      <w:r>
        <w:rPr>
          <w:rFonts w:ascii="Constantia" w:hAnsi="Constantia" w:cs="Helvetica-Bold"/>
          <w:bCs/>
          <w:sz w:val="24"/>
          <w:szCs w:val="24"/>
        </w:rPr>
        <w:t>Office of Child Care</w:t>
      </w:r>
    </w:p>
    <w:p w:rsidR="003A314A" w:rsidRDefault="003A314A" w:rsidP="00050ECF">
      <w:pPr>
        <w:autoSpaceDE w:val="0"/>
        <w:autoSpaceDN w:val="0"/>
        <w:adjustRightInd w:val="0"/>
        <w:spacing w:after="0" w:line="240" w:lineRule="auto"/>
        <w:rPr>
          <w:rFonts w:ascii="Constantia" w:hAnsi="Constantia" w:cs="Helvetica-Bold"/>
          <w:bCs/>
          <w:sz w:val="24"/>
          <w:szCs w:val="24"/>
        </w:rPr>
      </w:pPr>
      <w:r>
        <w:rPr>
          <w:rFonts w:ascii="Constantia" w:hAnsi="Constantia" w:cs="Helvetica-Bold"/>
          <w:bCs/>
          <w:sz w:val="24"/>
          <w:szCs w:val="24"/>
        </w:rPr>
        <w:t>Department of Health and Human Services</w:t>
      </w:r>
    </w:p>
    <w:p w:rsidR="003A314A" w:rsidRDefault="003A314A" w:rsidP="00050ECF">
      <w:pPr>
        <w:autoSpaceDE w:val="0"/>
        <w:autoSpaceDN w:val="0"/>
        <w:adjustRightInd w:val="0"/>
        <w:spacing w:after="0" w:line="240" w:lineRule="auto"/>
        <w:rPr>
          <w:rFonts w:ascii="Constantia" w:hAnsi="Constantia" w:cs="Helvetica-Bold"/>
          <w:bCs/>
          <w:sz w:val="24"/>
          <w:szCs w:val="24"/>
        </w:rPr>
      </w:pPr>
      <w:r>
        <w:rPr>
          <w:rFonts w:ascii="Constantia" w:hAnsi="Constantia" w:cs="Helvetica-Bold"/>
          <w:bCs/>
          <w:sz w:val="24"/>
          <w:szCs w:val="24"/>
        </w:rPr>
        <w:t>370 L’Enfant Promenade</w:t>
      </w:r>
    </w:p>
    <w:p w:rsidR="003A314A" w:rsidRDefault="003A314A" w:rsidP="00050ECF">
      <w:pPr>
        <w:autoSpaceDE w:val="0"/>
        <w:autoSpaceDN w:val="0"/>
        <w:adjustRightInd w:val="0"/>
        <w:spacing w:after="0" w:line="240" w:lineRule="auto"/>
        <w:rPr>
          <w:rFonts w:ascii="Constantia" w:hAnsi="Constantia" w:cs="Helvetica-Bold"/>
          <w:bCs/>
          <w:sz w:val="24"/>
          <w:szCs w:val="24"/>
        </w:rPr>
      </w:pPr>
      <w:r>
        <w:rPr>
          <w:rFonts w:ascii="Constantia" w:hAnsi="Constantia" w:cs="Helvetica-Bold"/>
          <w:bCs/>
          <w:sz w:val="24"/>
          <w:szCs w:val="24"/>
        </w:rPr>
        <w:t>Washington, DC 20024</w:t>
      </w:r>
    </w:p>
    <w:p w:rsidR="003A314A" w:rsidRDefault="003A314A" w:rsidP="00050ECF">
      <w:pPr>
        <w:autoSpaceDE w:val="0"/>
        <w:autoSpaceDN w:val="0"/>
        <w:adjustRightInd w:val="0"/>
        <w:spacing w:after="0" w:line="240" w:lineRule="auto"/>
        <w:rPr>
          <w:rFonts w:ascii="Constantia" w:hAnsi="Constantia" w:cs="Helvetica-Bold"/>
          <w:bCs/>
          <w:sz w:val="24"/>
          <w:szCs w:val="24"/>
        </w:rPr>
      </w:pPr>
    </w:p>
    <w:p w:rsidR="001E2064" w:rsidRDefault="003A314A" w:rsidP="00050ECF">
      <w:pPr>
        <w:autoSpaceDE w:val="0"/>
        <w:autoSpaceDN w:val="0"/>
        <w:adjustRightInd w:val="0"/>
        <w:spacing w:after="0" w:line="240" w:lineRule="auto"/>
        <w:rPr>
          <w:rFonts w:ascii="Constantia" w:hAnsi="Constantia" w:cs="Helvetica-Bold"/>
          <w:bCs/>
          <w:sz w:val="24"/>
          <w:szCs w:val="24"/>
        </w:rPr>
      </w:pPr>
      <w:r>
        <w:rPr>
          <w:rFonts w:ascii="Constantia" w:hAnsi="Constantia" w:cs="Helvetica-Bold"/>
          <w:bCs/>
          <w:sz w:val="24"/>
          <w:szCs w:val="24"/>
        </w:rPr>
        <w:t>Docket Number: ACF-2013-0001</w:t>
      </w:r>
    </w:p>
    <w:p w:rsidR="00A30004" w:rsidRDefault="00A30004" w:rsidP="00050ECF">
      <w:pPr>
        <w:autoSpaceDE w:val="0"/>
        <w:autoSpaceDN w:val="0"/>
        <w:adjustRightInd w:val="0"/>
        <w:spacing w:after="0" w:line="240" w:lineRule="auto"/>
        <w:rPr>
          <w:rFonts w:ascii="Constantia" w:hAnsi="Constantia" w:cs="Helvetica-Bold"/>
          <w:bCs/>
          <w:sz w:val="24"/>
          <w:szCs w:val="24"/>
        </w:rPr>
      </w:pPr>
    </w:p>
    <w:p w:rsidR="003A314A" w:rsidRDefault="003A314A" w:rsidP="003A314A">
      <w:pPr>
        <w:spacing w:after="0"/>
        <w:rPr>
          <w:rFonts w:ascii="Constantia" w:hAnsi="Constantia" w:cs="Helvetica-Bold"/>
          <w:bCs/>
          <w:sz w:val="24"/>
          <w:szCs w:val="24"/>
        </w:rPr>
      </w:pPr>
      <w:r>
        <w:rPr>
          <w:rFonts w:ascii="Constantia" w:hAnsi="Constantia" w:cs="Helvetica-Bold"/>
          <w:bCs/>
          <w:sz w:val="24"/>
          <w:szCs w:val="24"/>
        </w:rPr>
        <w:t>Dear Ms. Vincent:</w:t>
      </w:r>
    </w:p>
    <w:p w:rsidR="0084213B" w:rsidRDefault="0084213B" w:rsidP="003A314A">
      <w:pPr>
        <w:spacing w:after="0"/>
        <w:rPr>
          <w:rFonts w:ascii="Constantia" w:hAnsi="Constantia" w:cs="Helvetica-Bold"/>
          <w:bCs/>
          <w:sz w:val="24"/>
          <w:szCs w:val="24"/>
        </w:rPr>
      </w:pPr>
    </w:p>
    <w:p w:rsidR="00A30004" w:rsidRPr="00427E50" w:rsidRDefault="003A314A" w:rsidP="00A30004">
      <w:pPr>
        <w:rPr>
          <w:rFonts w:ascii="Constantia" w:hAnsi="Constantia" w:cs="Helvetica-Bold"/>
          <w:bCs/>
          <w:sz w:val="24"/>
          <w:szCs w:val="24"/>
        </w:rPr>
      </w:pPr>
      <w:r>
        <w:rPr>
          <w:rFonts w:ascii="Constantia" w:hAnsi="Constantia" w:cs="Helvetica-Bold"/>
          <w:bCs/>
          <w:sz w:val="24"/>
          <w:szCs w:val="24"/>
        </w:rPr>
        <w:t>Thank you for the opportunity to comment on the</w:t>
      </w:r>
      <w:r w:rsidR="00A30004">
        <w:rPr>
          <w:rFonts w:ascii="Constantia" w:hAnsi="Constantia" w:cs="Helvetica-Bold"/>
          <w:bCs/>
          <w:sz w:val="24"/>
          <w:szCs w:val="24"/>
        </w:rPr>
        <w:t xml:space="preserve"> </w:t>
      </w:r>
      <w:r w:rsidR="00050ECF" w:rsidRPr="00081E05">
        <w:rPr>
          <w:rFonts w:ascii="Constantia" w:hAnsi="Constantia" w:cs="Helvetica-Bold"/>
          <w:bCs/>
          <w:sz w:val="24"/>
          <w:szCs w:val="24"/>
        </w:rPr>
        <w:t xml:space="preserve">recently </w:t>
      </w:r>
      <w:r w:rsidR="00050ECF">
        <w:rPr>
          <w:rFonts w:ascii="Constantia" w:hAnsi="Constantia" w:cs="Helvetica-Bold"/>
          <w:bCs/>
          <w:sz w:val="24"/>
          <w:szCs w:val="24"/>
        </w:rPr>
        <w:t xml:space="preserve">proposed </w:t>
      </w:r>
      <w:r w:rsidR="00050ECF" w:rsidRPr="00081E05">
        <w:rPr>
          <w:rFonts w:ascii="Constantia" w:hAnsi="Constantia" w:cs="Helvetica-Bold"/>
          <w:bCs/>
          <w:sz w:val="24"/>
          <w:szCs w:val="24"/>
        </w:rPr>
        <w:t xml:space="preserve">Child Care and Development Fund (CCDF) Program </w:t>
      </w:r>
      <w:r w:rsidR="00612E22">
        <w:rPr>
          <w:rFonts w:ascii="Constantia" w:hAnsi="Constantia" w:cs="Helvetica-Bold"/>
          <w:bCs/>
          <w:sz w:val="24"/>
          <w:szCs w:val="24"/>
        </w:rPr>
        <w:t>rule</w:t>
      </w:r>
      <w:r w:rsidR="00085CCD">
        <w:rPr>
          <w:rFonts w:ascii="Constantia" w:hAnsi="Constantia" w:cs="Helvetica-Bold"/>
          <w:bCs/>
          <w:sz w:val="24"/>
          <w:szCs w:val="24"/>
        </w:rPr>
        <w:t xml:space="preserve"> aiming to improve the health, safety and quality of</w:t>
      </w:r>
      <w:r w:rsidR="00427E50">
        <w:rPr>
          <w:rFonts w:ascii="Constantia" w:hAnsi="Constantia" w:cs="Helvetica-Bold"/>
          <w:bCs/>
          <w:sz w:val="24"/>
          <w:szCs w:val="24"/>
        </w:rPr>
        <w:t xml:space="preserve"> child care.    </w:t>
      </w:r>
      <w:r w:rsidR="00614962">
        <w:rPr>
          <w:rFonts w:ascii="Constantia" w:hAnsi="Constantia"/>
          <w:sz w:val="24"/>
          <w:szCs w:val="24"/>
        </w:rPr>
        <w:t>It is important to</w:t>
      </w:r>
      <w:r>
        <w:rPr>
          <w:rFonts w:ascii="Constantia" w:hAnsi="Constantia"/>
          <w:sz w:val="24"/>
          <w:szCs w:val="24"/>
        </w:rPr>
        <w:t xml:space="preserve"> </w:t>
      </w:r>
      <w:r w:rsidR="00A30004" w:rsidRPr="00A30004">
        <w:rPr>
          <w:rFonts w:ascii="Constantia" w:hAnsi="Constantia"/>
          <w:sz w:val="24"/>
          <w:szCs w:val="24"/>
        </w:rPr>
        <w:t xml:space="preserve">strengthen the quality of </w:t>
      </w:r>
      <w:proofErr w:type="gramStart"/>
      <w:r w:rsidR="00A30004" w:rsidRPr="00A30004">
        <w:rPr>
          <w:rFonts w:ascii="Constantia" w:hAnsi="Constantia"/>
          <w:sz w:val="24"/>
          <w:szCs w:val="24"/>
        </w:rPr>
        <w:t>child care</w:t>
      </w:r>
      <w:proofErr w:type="gramEnd"/>
      <w:r w:rsidR="00A30004" w:rsidRPr="00A30004">
        <w:rPr>
          <w:rFonts w:ascii="Constantia" w:hAnsi="Constantia"/>
          <w:sz w:val="24"/>
          <w:szCs w:val="24"/>
        </w:rPr>
        <w:t xml:space="preserve"> but </w:t>
      </w:r>
      <w:r w:rsidR="00A30004">
        <w:rPr>
          <w:rFonts w:ascii="Constantia" w:hAnsi="Constantia"/>
          <w:sz w:val="24"/>
          <w:szCs w:val="24"/>
        </w:rPr>
        <w:t>effective</w:t>
      </w:r>
      <w:r w:rsidR="00A30004" w:rsidRPr="00A30004">
        <w:rPr>
          <w:rFonts w:ascii="Constantia" w:hAnsi="Constantia"/>
          <w:sz w:val="24"/>
          <w:szCs w:val="24"/>
        </w:rPr>
        <w:t xml:space="preserve"> change will require </w:t>
      </w:r>
      <w:r w:rsidR="00A30004">
        <w:rPr>
          <w:rFonts w:ascii="Constantia" w:hAnsi="Constantia"/>
          <w:sz w:val="24"/>
          <w:szCs w:val="24"/>
        </w:rPr>
        <w:t xml:space="preserve">a balanced approach and </w:t>
      </w:r>
      <w:r w:rsidR="00A30004" w:rsidRPr="00A30004">
        <w:rPr>
          <w:rFonts w:ascii="Constantia" w:hAnsi="Constantia"/>
          <w:sz w:val="24"/>
          <w:szCs w:val="24"/>
        </w:rPr>
        <w:t xml:space="preserve">additional resources.   </w:t>
      </w:r>
    </w:p>
    <w:p w:rsidR="00427E50" w:rsidRDefault="00A30004" w:rsidP="00427E50">
      <w:pPr>
        <w:rPr>
          <w:bCs/>
        </w:rPr>
        <w:sectPr w:rsidR="00427E50" w:rsidSect="00CD49D9">
          <w:footerReference w:type="default" r:id="rId9"/>
          <w:endnotePr>
            <w:numFmt w:val="decimal"/>
          </w:endnotePr>
          <w:type w:val="continuous"/>
          <w:pgSz w:w="12240" w:h="15840"/>
          <w:pgMar w:top="1440" w:right="1440" w:bottom="1440" w:left="1440" w:header="720" w:footer="720" w:gutter="0"/>
          <w:cols w:space="720"/>
          <w:docGrid w:linePitch="360"/>
        </w:sectPr>
      </w:pPr>
      <w:r>
        <w:rPr>
          <w:rFonts w:ascii="Constantia" w:hAnsi="Constantia" w:cs="Helvetica-Bold"/>
          <w:bCs/>
          <w:sz w:val="24"/>
          <w:szCs w:val="24"/>
        </w:rPr>
        <w:t xml:space="preserve">One important component for success will be to fully utilize </w:t>
      </w:r>
      <w:r w:rsidR="00614962">
        <w:rPr>
          <w:rFonts w:ascii="Constantia" w:hAnsi="Constantia" w:cs="Helvetica-Bold"/>
          <w:bCs/>
          <w:sz w:val="24"/>
          <w:szCs w:val="24"/>
        </w:rPr>
        <w:t>t</w:t>
      </w:r>
      <w:r>
        <w:rPr>
          <w:rFonts w:ascii="Constantia" w:hAnsi="Constantia" w:cs="Helvetica-Bold"/>
          <w:bCs/>
          <w:sz w:val="24"/>
          <w:szCs w:val="24"/>
        </w:rPr>
        <w:t>he power of the Child and Adult Care Food Program</w:t>
      </w:r>
      <w:r w:rsidR="00614962">
        <w:rPr>
          <w:rFonts w:ascii="Constantia" w:hAnsi="Constantia" w:cs="Helvetica-Bold"/>
          <w:bCs/>
          <w:sz w:val="24"/>
          <w:szCs w:val="24"/>
        </w:rPr>
        <w:t xml:space="preserve"> (CACFP)</w:t>
      </w:r>
      <w:r>
        <w:rPr>
          <w:rFonts w:ascii="Constantia" w:hAnsi="Constantia" w:cs="Helvetica-Bold"/>
          <w:bCs/>
          <w:sz w:val="24"/>
          <w:szCs w:val="24"/>
        </w:rPr>
        <w:t xml:space="preserve"> to</w:t>
      </w:r>
      <w:r w:rsidR="00CD49D9">
        <w:rPr>
          <w:rFonts w:ascii="Constantia" w:hAnsi="Constantia" w:cs="Helvetica-Bold"/>
          <w:bCs/>
          <w:sz w:val="24"/>
          <w:szCs w:val="24"/>
        </w:rPr>
        <w:t xml:space="preserve"> support</w:t>
      </w:r>
      <w:r>
        <w:rPr>
          <w:rFonts w:ascii="Constantia" w:hAnsi="Constantia" w:cs="Helvetica-Bold"/>
          <w:bCs/>
          <w:sz w:val="24"/>
          <w:szCs w:val="24"/>
        </w:rPr>
        <w:t xml:space="preserve"> </w:t>
      </w:r>
      <w:r w:rsidR="00427E50">
        <w:rPr>
          <w:rFonts w:ascii="Constantia" w:hAnsi="Constantia" w:cs="Helvetica-Bold"/>
          <w:bCs/>
          <w:sz w:val="24"/>
          <w:szCs w:val="24"/>
        </w:rPr>
        <w:t xml:space="preserve">quality in subsidized </w:t>
      </w:r>
      <w:proofErr w:type="gramStart"/>
      <w:r w:rsidR="00427E50">
        <w:rPr>
          <w:rFonts w:ascii="Constantia" w:hAnsi="Constantia" w:cs="Helvetica-Bold"/>
          <w:bCs/>
          <w:sz w:val="24"/>
          <w:szCs w:val="24"/>
        </w:rPr>
        <w:t>child care</w:t>
      </w:r>
      <w:proofErr w:type="gramEnd"/>
      <w:r w:rsidR="00CD49D9">
        <w:rPr>
          <w:rFonts w:ascii="Constantia" w:hAnsi="Constantia" w:cs="Helvetica-Bold"/>
          <w:bCs/>
          <w:sz w:val="24"/>
          <w:szCs w:val="24"/>
        </w:rPr>
        <w:t xml:space="preserve">. </w:t>
      </w:r>
      <w:r w:rsidR="00085CCD">
        <w:rPr>
          <w:rFonts w:ascii="Constantia" w:hAnsi="Constantia" w:cs="Helvetica-Bold"/>
          <w:bCs/>
          <w:sz w:val="24"/>
          <w:szCs w:val="24"/>
        </w:rPr>
        <w:t xml:space="preserve"> </w:t>
      </w:r>
      <w:r w:rsidR="00CD49D9">
        <w:rPr>
          <w:rFonts w:ascii="Constantia" w:hAnsi="Constantia" w:cs="Helvetica-Bold"/>
          <w:bCs/>
          <w:sz w:val="24"/>
          <w:szCs w:val="24"/>
        </w:rPr>
        <w:t xml:space="preserve">Research has shown </w:t>
      </w:r>
      <w:r>
        <w:rPr>
          <w:rFonts w:ascii="Constantia" w:hAnsi="Constantia" w:cs="Helvetica-Bold"/>
          <w:bCs/>
          <w:sz w:val="24"/>
          <w:szCs w:val="24"/>
        </w:rPr>
        <w:t>CACFP</w:t>
      </w:r>
      <w:r w:rsidR="00CD49D9">
        <w:rPr>
          <w:rFonts w:ascii="Constantia" w:hAnsi="Constantia" w:cs="Helvetica-Bold"/>
          <w:bCs/>
          <w:sz w:val="24"/>
          <w:szCs w:val="24"/>
        </w:rPr>
        <w:t xml:space="preserve">’s training, standards, and resources </w:t>
      </w:r>
      <w:r w:rsidR="00CD49D9" w:rsidRPr="00427E50">
        <w:rPr>
          <w:rFonts w:ascii="Constantia" w:hAnsi="Constantia"/>
          <w:bCs/>
          <w:sz w:val="24"/>
          <w:szCs w:val="24"/>
        </w:rPr>
        <w:t>support good nutrition</w:t>
      </w:r>
      <w:r w:rsidR="004E6D12">
        <w:rPr>
          <w:rFonts w:ascii="Constantia" w:hAnsi="Constantia"/>
          <w:bCs/>
          <w:sz w:val="24"/>
          <w:szCs w:val="24"/>
        </w:rPr>
        <w:t xml:space="preserve">, </w:t>
      </w:r>
      <w:r w:rsidR="00085CCD">
        <w:rPr>
          <w:rFonts w:ascii="Constantia" w:hAnsi="Constantia"/>
          <w:bCs/>
          <w:sz w:val="24"/>
          <w:szCs w:val="24"/>
        </w:rPr>
        <w:t>health</w:t>
      </w:r>
      <w:r w:rsidR="004E6D12">
        <w:rPr>
          <w:rFonts w:ascii="Constantia" w:hAnsi="Constantia"/>
          <w:bCs/>
          <w:sz w:val="24"/>
          <w:szCs w:val="24"/>
        </w:rPr>
        <w:t>,</w:t>
      </w:r>
      <w:r w:rsidR="00CD49D9" w:rsidRPr="00427E50">
        <w:rPr>
          <w:rFonts w:ascii="Constantia" w:hAnsi="Constantia"/>
          <w:bCs/>
          <w:sz w:val="24"/>
          <w:szCs w:val="24"/>
        </w:rPr>
        <w:t xml:space="preserve"> and </w:t>
      </w:r>
      <w:r w:rsidR="00164810" w:rsidRPr="00427E50">
        <w:rPr>
          <w:rFonts w:ascii="Constantia" w:hAnsi="Constantia"/>
          <w:bCs/>
          <w:sz w:val="24"/>
          <w:szCs w:val="24"/>
        </w:rPr>
        <w:t xml:space="preserve">quality </w:t>
      </w:r>
      <w:proofErr w:type="gramStart"/>
      <w:r w:rsidR="00CD49D9" w:rsidRPr="00427E50">
        <w:rPr>
          <w:rFonts w:ascii="Constantia" w:hAnsi="Constantia"/>
          <w:bCs/>
          <w:sz w:val="24"/>
          <w:szCs w:val="24"/>
        </w:rPr>
        <w:t>child</w:t>
      </w:r>
      <w:r w:rsidR="00164810" w:rsidRPr="00427E50">
        <w:rPr>
          <w:rFonts w:ascii="Constantia" w:hAnsi="Constantia"/>
          <w:bCs/>
          <w:sz w:val="24"/>
          <w:szCs w:val="24"/>
        </w:rPr>
        <w:t xml:space="preserve"> care</w:t>
      </w:r>
      <w:proofErr w:type="gramEnd"/>
      <w:r w:rsidR="00164810" w:rsidRPr="00427E50">
        <w:rPr>
          <w:rFonts w:ascii="Constantia" w:hAnsi="Constantia"/>
          <w:bCs/>
          <w:sz w:val="24"/>
          <w:szCs w:val="24"/>
        </w:rPr>
        <w:t>.</w:t>
      </w:r>
      <w:r w:rsidR="00427E50" w:rsidRPr="00427E50">
        <w:rPr>
          <w:rFonts w:ascii="Constantia" w:hAnsi="Constantia"/>
          <w:bCs/>
          <w:sz w:val="24"/>
          <w:szCs w:val="24"/>
        </w:rPr>
        <w:t xml:space="preserve"> </w:t>
      </w:r>
      <w:r w:rsidR="00164810" w:rsidRPr="00427E50">
        <w:rPr>
          <w:rFonts w:ascii="Constantia" w:hAnsi="Constantia"/>
          <w:bCs/>
          <w:sz w:val="24"/>
          <w:szCs w:val="24"/>
          <w:vertAlign w:val="superscript"/>
        </w:rPr>
        <w:endnoteReference w:id="1"/>
      </w:r>
      <w:r w:rsidR="00164810" w:rsidRPr="00427E50">
        <w:rPr>
          <w:rFonts w:ascii="Constantia" w:hAnsi="Constantia"/>
          <w:bCs/>
          <w:sz w:val="24"/>
          <w:szCs w:val="24"/>
          <w:vertAlign w:val="superscript"/>
        </w:rPr>
        <w:t>,</w:t>
      </w:r>
      <w:r w:rsidR="00164810" w:rsidRPr="00427E50">
        <w:rPr>
          <w:rFonts w:ascii="Constantia" w:hAnsi="Constantia"/>
          <w:bCs/>
          <w:sz w:val="24"/>
          <w:szCs w:val="24"/>
          <w:vertAlign w:val="superscript"/>
        </w:rPr>
        <w:endnoteReference w:id="2"/>
      </w:r>
      <w:r w:rsidR="00164810" w:rsidRPr="00427E50">
        <w:rPr>
          <w:rFonts w:ascii="Constantia" w:hAnsi="Constantia"/>
          <w:bCs/>
          <w:sz w:val="24"/>
          <w:szCs w:val="24"/>
          <w:vertAlign w:val="superscript"/>
        </w:rPr>
        <w:t>,</w:t>
      </w:r>
      <w:r w:rsidR="00164810" w:rsidRPr="00427E50">
        <w:rPr>
          <w:rFonts w:ascii="Constantia" w:hAnsi="Constantia"/>
          <w:bCs/>
          <w:sz w:val="24"/>
          <w:szCs w:val="24"/>
          <w:vertAlign w:val="superscript"/>
        </w:rPr>
        <w:endnoteReference w:id="3"/>
      </w:r>
      <w:r w:rsidR="00164810" w:rsidRPr="00427E50">
        <w:rPr>
          <w:rFonts w:ascii="Constantia" w:hAnsi="Constantia"/>
          <w:bCs/>
          <w:sz w:val="24"/>
          <w:szCs w:val="24"/>
          <w:vertAlign w:val="superscript"/>
        </w:rPr>
        <w:t>,</w:t>
      </w:r>
      <w:r w:rsidR="00164810" w:rsidRPr="00427E50">
        <w:rPr>
          <w:rFonts w:ascii="Constantia" w:hAnsi="Constantia"/>
          <w:bCs/>
          <w:sz w:val="24"/>
          <w:szCs w:val="24"/>
          <w:vertAlign w:val="superscript"/>
        </w:rPr>
        <w:endnoteReference w:id="4"/>
      </w:r>
      <w:r w:rsidR="00D61720">
        <w:rPr>
          <w:rFonts w:ascii="Constantia" w:hAnsi="Constantia"/>
          <w:bCs/>
          <w:sz w:val="24"/>
          <w:szCs w:val="24"/>
          <w:vertAlign w:val="superscript"/>
        </w:rPr>
        <w:t>,</w:t>
      </w:r>
      <w:r w:rsidR="00D61720">
        <w:rPr>
          <w:rStyle w:val="EndnoteReference"/>
          <w:rFonts w:ascii="Constantia" w:hAnsi="Constantia"/>
          <w:bCs/>
          <w:sz w:val="24"/>
          <w:szCs w:val="24"/>
        </w:rPr>
        <w:endnoteReference w:id="5"/>
      </w:r>
      <w:r w:rsidR="006C4892">
        <w:rPr>
          <w:rFonts w:ascii="Constantia" w:hAnsi="Constantia"/>
          <w:bCs/>
          <w:sz w:val="24"/>
          <w:szCs w:val="24"/>
          <w:vertAlign w:val="superscript"/>
        </w:rPr>
        <w:t>,</w:t>
      </w:r>
      <w:r w:rsidR="006C4892">
        <w:rPr>
          <w:rStyle w:val="EndnoteReference"/>
          <w:rFonts w:ascii="Constantia" w:hAnsi="Constantia"/>
          <w:bCs/>
          <w:sz w:val="24"/>
          <w:szCs w:val="24"/>
        </w:rPr>
        <w:endnoteReference w:id="6"/>
      </w:r>
      <w:r w:rsidR="00277743">
        <w:rPr>
          <w:bCs/>
        </w:rPr>
        <w:t xml:space="preserve"> </w:t>
      </w:r>
      <w:r w:rsidR="00085CCD">
        <w:rPr>
          <w:rFonts w:ascii="Constantia" w:hAnsi="Constantia" w:cs="Helvetica-Bold"/>
          <w:bCs/>
          <w:sz w:val="24"/>
          <w:szCs w:val="24"/>
        </w:rPr>
        <w:t xml:space="preserve">As the Office of Child Care recognizes in the rule, </w:t>
      </w:r>
      <w:r w:rsidR="00085CCD" w:rsidRPr="00085CCD">
        <w:rPr>
          <w:rFonts w:ascii="Constantia" w:hAnsi="Constantia" w:cs="Helvetica-Bold"/>
          <w:bCs/>
          <w:sz w:val="24"/>
          <w:szCs w:val="24"/>
        </w:rPr>
        <w:t>“</w:t>
      </w:r>
      <w:r w:rsidR="00085CCD" w:rsidRPr="00085CCD">
        <w:rPr>
          <w:rFonts w:ascii="Constantia" w:hAnsi="Constantia" w:cs="Helvetica-Bold"/>
          <w:bCs/>
          <w:i/>
          <w:sz w:val="24"/>
          <w:szCs w:val="24"/>
        </w:rPr>
        <w:t>Another key partner in ensuring health, safety and quality in child care is the U.S. Department of Agriculture’s Child and Adult Care Food Program (CACFP)</w:t>
      </w:r>
      <w:r w:rsidR="00511A16">
        <w:rPr>
          <w:rFonts w:ascii="Constantia" w:hAnsi="Constantia" w:cs="Helvetica-Bold"/>
          <w:bCs/>
          <w:i/>
          <w:sz w:val="24"/>
          <w:szCs w:val="24"/>
        </w:rPr>
        <w:t>.</w:t>
      </w:r>
      <w:r w:rsidR="00085CCD" w:rsidRPr="00085CCD">
        <w:rPr>
          <w:rFonts w:ascii="Constantia" w:hAnsi="Constantia" w:cs="Helvetica-Bold"/>
          <w:bCs/>
          <w:i/>
          <w:sz w:val="24"/>
          <w:szCs w:val="24"/>
        </w:rPr>
        <w:t>”</w:t>
      </w:r>
    </w:p>
    <w:p w:rsidR="008B2E0B" w:rsidRDefault="00085CCD" w:rsidP="00A30004">
      <w:pPr>
        <w:rPr>
          <w:rFonts w:ascii="Constantia" w:hAnsi="Constantia" w:cs="Helvetica-Bold"/>
          <w:bCs/>
          <w:sz w:val="24"/>
          <w:szCs w:val="24"/>
        </w:rPr>
      </w:pPr>
      <w:r>
        <w:rPr>
          <w:rFonts w:ascii="Constantia" w:hAnsi="Constantia" w:cs="Helvetica-Bold"/>
          <w:bCs/>
          <w:sz w:val="24"/>
          <w:szCs w:val="24"/>
        </w:rPr>
        <w:lastRenderedPageBreak/>
        <w:t>In response to the Department’s recognition of CACFP as an important partner</w:t>
      </w:r>
      <w:r w:rsidR="00F533F2">
        <w:rPr>
          <w:rFonts w:ascii="Constantia" w:hAnsi="Constantia" w:cs="Helvetica-Bold"/>
          <w:bCs/>
          <w:sz w:val="24"/>
          <w:szCs w:val="24"/>
        </w:rPr>
        <w:t>, recommendation</w:t>
      </w:r>
      <w:r w:rsidR="00511A16">
        <w:rPr>
          <w:rFonts w:ascii="Constantia" w:hAnsi="Constantia" w:cs="Helvetica-Bold"/>
          <w:bCs/>
          <w:sz w:val="24"/>
          <w:szCs w:val="24"/>
        </w:rPr>
        <w:t xml:space="preserve"> to</w:t>
      </w:r>
      <w:r>
        <w:rPr>
          <w:rFonts w:ascii="Constantia" w:hAnsi="Constantia" w:cs="Helvetica-Bold"/>
          <w:bCs/>
          <w:sz w:val="24"/>
          <w:szCs w:val="24"/>
        </w:rPr>
        <w:t xml:space="preserve"> </w:t>
      </w:r>
      <w:r w:rsidR="00F533F2">
        <w:rPr>
          <w:rFonts w:ascii="Constantia" w:hAnsi="Constantia" w:cs="Helvetica-Bold"/>
          <w:bCs/>
          <w:sz w:val="24"/>
          <w:szCs w:val="24"/>
        </w:rPr>
        <w:t>state Lead A</w:t>
      </w:r>
      <w:r w:rsidR="008B2E0B" w:rsidRPr="00511A16">
        <w:rPr>
          <w:rFonts w:ascii="Constantia" w:hAnsi="Constantia" w:cs="Helvetica-Bold"/>
          <w:bCs/>
          <w:sz w:val="24"/>
          <w:szCs w:val="24"/>
        </w:rPr>
        <w:t>gencies</w:t>
      </w:r>
      <w:r w:rsidR="008B2E0B">
        <w:rPr>
          <w:rFonts w:ascii="Constantia" w:hAnsi="Constantia" w:cs="Helvetica-Bold"/>
          <w:bCs/>
          <w:sz w:val="24"/>
          <w:szCs w:val="24"/>
        </w:rPr>
        <w:t xml:space="preserve"> to use CACFP to support the success of the proposed new stan</w:t>
      </w:r>
      <w:r w:rsidR="00511A16">
        <w:rPr>
          <w:rFonts w:ascii="Constantia" w:hAnsi="Constantia" w:cs="Helvetica-Bold"/>
          <w:bCs/>
          <w:sz w:val="24"/>
          <w:szCs w:val="24"/>
        </w:rPr>
        <w:t xml:space="preserve">dards, and request for </w:t>
      </w:r>
      <w:r w:rsidR="008B2E0B">
        <w:rPr>
          <w:rFonts w:ascii="Constantia" w:hAnsi="Constantia" w:cs="Helvetica-Bold"/>
          <w:bCs/>
          <w:sz w:val="24"/>
          <w:szCs w:val="24"/>
        </w:rPr>
        <w:t>comments, we offer the following reco</w:t>
      </w:r>
      <w:r w:rsidR="00511A16">
        <w:rPr>
          <w:rFonts w:ascii="Constantia" w:hAnsi="Constantia" w:cs="Helvetica-Bold"/>
          <w:bCs/>
          <w:sz w:val="24"/>
          <w:szCs w:val="24"/>
        </w:rPr>
        <w:t>mmendations</w:t>
      </w:r>
      <w:r w:rsidR="008B2E0B">
        <w:rPr>
          <w:rFonts w:ascii="Constantia" w:hAnsi="Constantia" w:cs="Helvetica-Bold"/>
          <w:bCs/>
          <w:sz w:val="24"/>
          <w:szCs w:val="24"/>
        </w:rPr>
        <w:t xml:space="preserve">. </w:t>
      </w:r>
    </w:p>
    <w:p w:rsidR="00727E5B" w:rsidRDefault="00727E5B" w:rsidP="00B33303">
      <w:pPr>
        <w:autoSpaceDE w:val="0"/>
        <w:autoSpaceDN w:val="0"/>
        <w:adjustRightInd w:val="0"/>
        <w:spacing w:after="0" w:line="240" w:lineRule="auto"/>
        <w:ind w:left="1440"/>
        <w:rPr>
          <w:rFonts w:ascii="Constantia" w:hAnsi="Constantia" w:cs="Melior"/>
          <w:i/>
          <w:sz w:val="24"/>
          <w:szCs w:val="24"/>
        </w:rPr>
      </w:pPr>
    </w:p>
    <w:p w:rsidR="003628B6" w:rsidRPr="000B468F" w:rsidRDefault="00414005" w:rsidP="000B468F">
      <w:pPr>
        <w:pStyle w:val="ListParagraph"/>
        <w:numPr>
          <w:ilvl w:val="0"/>
          <w:numId w:val="8"/>
        </w:numPr>
        <w:autoSpaceDE w:val="0"/>
        <w:autoSpaceDN w:val="0"/>
        <w:adjustRightInd w:val="0"/>
        <w:spacing w:after="0" w:line="240" w:lineRule="auto"/>
        <w:rPr>
          <w:rFonts w:ascii="Constantia" w:hAnsi="Constantia" w:cs="Melior"/>
          <w:sz w:val="24"/>
          <w:szCs w:val="24"/>
        </w:rPr>
      </w:pPr>
      <w:r w:rsidRPr="000B468F">
        <w:rPr>
          <w:rFonts w:ascii="Constantia" w:hAnsi="Constantia" w:cs="Melior"/>
          <w:b/>
          <w:i/>
          <w:sz w:val="24"/>
          <w:szCs w:val="24"/>
        </w:rPr>
        <w:t>R</w:t>
      </w:r>
      <w:r w:rsidR="003628B6" w:rsidRPr="000B468F">
        <w:rPr>
          <w:rFonts w:ascii="Constantia" w:hAnsi="Constantia" w:cs="Melior"/>
          <w:b/>
          <w:i/>
          <w:sz w:val="24"/>
          <w:szCs w:val="24"/>
        </w:rPr>
        <w:t>ecommendation:</w:t>
      </w:r>
      <w:r w:rsidR="00B33303" w:rsidRPr="000B468F">
        <w:rPr>
          <w:rFonts w:ascii="Constantia" w:hAnsi="Constantia" w:cs="Melior"/>
          <w:sz w:val="24"/>
          <w:szCs w:val="24"/>
        </w:rPr>
        <w:t xml:space="preserve">  </w:t>
      </w:r>
      <w:r w:rsidR="00727E5B" w:rsidRPr="000B468F">
        <w:rPr>
          <w:rFonts w:ascii="Constantia" w:hAnsi="Constantia" w:cs="Melior"/>
          <w:sz w:val="24"/>
          <w:szCs w:val="24"/>
        </w:rPr>
        <w:t xml:space="preserve">Providers participating in CACFP should be considered to have met the proposed new requirement for </w:t>
      </w:r>
      <w:proofErr w:type="gramStart"/>
      <w:r w:rsidR="00727E5B" w:rsidRPr="000B468F">
        <w:rPr>
          <w:rFonts w:ascii="Constantia" w:hAnsi="Constantia" w:cs="Melior"/>
          <w:sz w:val="24"/>
          <w:szCs w:val="24"/>
        </w:rPr>
        <w:t>child care</w:t>
      </w:r>
      <w:proofErr w:type="gramEnd"/>
      <w:r w:rsidR="00727E5B" w:rsidRPr="000B468F">
        <w:rPr>
          <w:rFonts w:ascii="Constantia" w:hAnsi="Constantia" w:cs="Melior"/>
          <w:sz w:val="24"/>
          <w:szCs w:val="24"/>
        </w:rPr>
        <w:t xml:space="preserve"> providers to be subject to on-site monitoring, including unannounced visits.  </w:t>
      </w:r>
      <w:r w:rsidR="00B4305D" w:rsidRPr="000B468F">
        <w:rPr>
          <w:rFonts w:ascii="Constantia" w:hAnsi="Constantia" w:cs="Melior"/>
          <w:sz w:val="24"/>
          <w:szCs w:val="24"/>
        </w:rPr>
        <w:t xml:space="preserve">(45 CFR 98.41(d))  </w:t>
      </w:r>
    </w:p>
    <w:p w:rsidR="00CD281C" w:rsidRPr="00414005" w:rsidRDefault="00CD281C" w:rsidP="00CD281C">
      <w:pPr>
        <w:spacing w:after="120"/>
        <w:rPr>
          <w:rFonts w:ascii="Constantia" w:hAnsi="Constantia"/>
          <w:sz w:val="24"/>
          <w:szCs w:val="24"/>
        </w:rPr>
      </w:pPr>
    </w:p>
    <w:p w:rsidR="00CD281C" w:rsidRDefault="00727E5B" w:rsidP="000B468F">
      <w:pPr>
        <w:spacing w:after="120"/>
        <w:ind w:left="720"/>
        <w:rPr>
          <w:rFonts w:ascii="Constantia" w:hAnsi="Constantia"/>
          <w:sz w:val="24"/>
          <w:szCs w:val="24"/>
        </w:rPr>
      </w:pPr>
      <w:r w:rsidRPr="00727E5B">
        <w:rPr>
          <w:rFonts w:ascii="Constantia" w:hAnsi="Constantia"/>
          <w:sz w:val="24"/>
          <w:szCs w:val="24"/>
        </w:rPr>
        <w:t xml:space="preserve">We agree with the Office of Child Care’s recommendation in the rule that CCDF Lead Agencies “to coordinate with other entities that already have inspection and on-site monitoring mechanisms” including CACFP.  </w:t>
      </w:r>
      <w:r>
        <w:rPr>
          <w:rFonts w:ascii="Constantia" w:hAnsi="Constantia"/>
          <w:sz w:val="24"/>
          <w:szCs w:val="24"/>
        </w:rPr>
        <w:t xml:space="preserve"> </w:t>
      </w:r>
      <w:r w:rsidR="007014A7">
        <w:rPr>
          <w:rFonts w:ascii="Constantia" w:hAnsi="Constantia"/>
          <w:sz w:val="24"/>
          <w:szCs w:val="24"/>
        </w:rPr>
        <w:t xml:space="preserve">CACFP monitoring visits should </w:t>
      </w:r>
      <w:r w:rsidR="00CD281C" w:rsidRPr="00414005">
        <w:rPr>
          <w:rFonts w:ascii="Constantia" w:hAnsi="Constantia"/>
          <w:sz w:val="24"/>
          <w:szCs w:val="24"/>
        </w:rPr>
        <w:t xml:space="preserve">meet the </w:t>
      </w:r>
      <w:r w:rsidR="005B190E">
        <w:rPr>
          <w:rFonts w:ascii="Constantia" w:hAnsi="Constantia"/>
          <w:sz w:val="24"/>
          <w:szCs w:val="24"/>
        </w:rPr>
        <w:t xml:space="preserve">proposed </w:t>
      </w:r>
      <w:r w:rsidR="007014A7">
        <w:rPr>
          <w:rFonts w:ascii="Constantia" w:hAnsi="Constantia"/>
          <w:sz w:val="24"/>
          <w:szCs w:val="24"/>
        </w:rPr>
        <w:t xml:space="preserve">new </w:t>
      </w:r>
      <w:r w:rsidR="00CD281C" w:rsidRPr="00414005">
        <w:rPr>
          <w:rFonts w:ascii="Constantia" w:hAnsi="Constantia"/>
          <w:sz w:val="24"/>
          <w:szCs w:val="24"/>
        </w:rPr>
        <w:t>on-site monitori</w:t>
      </w:r>
      <w:r w:rsidR="007014A7">
        <w:rPr>
          <w:rFonts w:ascii="Constantia" w:hAnsi="Constantia"/>
          <w:sz w:val="24"/>
          <w:szCs w:val="24"/>
        </w:rPr>
        <w:t xml:space="preserve">ng requirement for providers to receive subsidy.  </w:t>
      </w:r>
      <w:r w:rsidR="00CD281C" w:rsidRPr="00414005">
        <w:rPr>
          <w:rFonts w:ascii="Constantia" w:hAnsi="Constantia"/>
          <w:sz w:val="24"/>
          <w:szCs w:val="24"/>
        </w:rPr>
        <w:t xml:space="preserve"> </w:t>
      </w:r>
      <w:r w:rsidR="007014A7">
        <w:rPr>
          <w:rFonts w:ascii="Constantia" w:hAnsi="Constantia"/>
          <w:sz w:val="24"/>
          <w:szCs w:val="24"/>
        </w:rPr>
        <w:t xml:space="preserve">Providers participating in CACFP </w:t>
      </w:r>
      <w:r w:rsidR="005B190E">
        <w:rPr>
          <w:rFonts w:ascii="Constantia" w:hAnsi="Constantia"/>
          <w:sz w:val="24"/>
          <w:szCs w:val="24"/>
        </w:rPr>
        <w:t>should be considered to have me</w:t>
      </w:r>
      <w:r w:rsidR="007014A7">
        <w:rPr>
          <w:rFonts w:ascii="Constantia" w:hAnsi="Constantia"/>
          <w:sz w:val="24"/>
          <w:szCs w:val="24"/>
        </w:rPr>
        <w:t xml:space="preserve">t the new </w:t>
      </w:r>
      <w:r w:rsidR="005B190E">
        <w:rPr>
          <w:rFonts w:ascii="Constantia" w:hAnsi="Constantia"/>
          <w:sz w:val="24"/>
          <w:szCs w:val="24"/>
        </w:rPr>
        <w:t xml:space="preserve">proposed </w:t>
      </w:r>
      <w:r w:rsidR="007014A7">
        <w:rPr>
          <w:rFonts w:ascii="Constantia" w:hAnsi="Constantia"/>
          <w:sz w:val="24"/>
          <w:szCs w:val="24"/>
        </w:rPr>
        <w:t xml:space="preserve">requirement for child care providers receiving subsidy payments to be subject to on-site monitoring, including unannounced visits.  </w:t>
      </w:r>
      <w:r>
        <w:rPr>
          <w:rFonts w:ascii="Constantia" w:hAnsi="Constantia"/>
          <w:sz w:val="24"/>
          <w:szCs w:val="24"/>
        </w:rPr>
        <w:t xml:space="preserve"> </w:t>
      </w:r>
      <w:proofErr w:type="gramStart"/>
      <w:r>
        <w:rPr>
          <w:rFonts w:ascii="Constantia" w:hAnsi="Constantia"/>
          <w:sz w:val="24"/>
          <w:szCs w:val="24"/>
        </w:rPr>
        <w:t>Child care</w:t>
      </w:r>
      <w:proofErr w:type="gramEnd"/>
      <w:r>
        <w:rPr>
          <w:rFonts w:ascii="Constantia" w:hAnsi="Constantia"/>
          <w:sz w:val="24"/>
          <w:szCs w:val="24"/>
        </w:rPr>
        <w:t xml:space="preserve"> providers can submit documentation of CACFP participation to certify they have me</w:t>
      </w:r>
      <w:r w:rsidR="00B4305D">
        <w:rPr>
          <w:rFonts w:ascii="Constantia" w:hAnsi="Constantia"/>
          <w:sz w:val="24"/>
          <w:szCs w:val="24"/>
        </w:rPr>
        <w:t xml:space="preserve">t the new on-site </w:t>
      </w:r>
      <w:r>
        <w:rPr>
          <w:rFonts w:ascii="Constantia" w:hAnsi="Constantia"/>
          <w:sz w:val="24"/>
          <w:szCs w:val="24"/>
        </w:rPr>
        <w:t xml:space="preserve">monitoring requirement. </w:t>
      </w:r>
    </w:p>
    <w:p w:rsidR="000B468F" w:rsidRDefault="000B468F" w:rsidP="000B468F">
      <w:pPr>
        <w:spacing w:after="120"/>
        <w:ind w:left="720"/>
        <w:rPr>
          <w:rFonts w:ascii="Constantia" w:hAnsi="Constantia"/>
          <w:sz w:val="24"/>
          <w:szCs w:val="24"/>
        </w:rPr>
      </w:pPr>
    </w:p>
    <w:p w:rsidR="000B468F" w:rsidRPr="000B468F" w:rsidRDefault="000B468F" w:rsidP="000B468F">
      <w:pPr>
        <w:pStyle w:val="ListParagraph"/>
        <w:numPr>
          <w:ilvl w:val="0"/>
          <w:numId w:val="8"/>
        </w:numPr>
        <w:autoSpaceDE w:val="0"/>
        <w:autoSpaceDN w:val="0"/>
        <w:adjustRightInd w:val="0"/>
        <w:spacing w:after="0" w:line="240" w:lineRule="auto"/>
        <w:rPr>
          <w:rFonts w:ascii="Constantia" w:hAnsi="Constantia" w:cs="Melior"/>
          <w:sz w:val="24"/>
          <w:szCs w:val="24"/>
        </w:rPr>
      </w:pPr>
      <w:r w:rsidRPr="000B468F">
        <w:rPr>
          <w:rFonts w:ascii="Constantia" w:hAnsi="Constantia" w:cs="Melior"/>
          <w:b/>
          <w:i/>
          <w:sz w:val="24"/>
          <w:szCs w:val="24"/>
        </w:rPr>
        <w:t>Recommendation:</w:t>
      </w:r>
      <w:r w:rsidRPr="000B468F">
        <w:rPr>
          <w:rFonts w:ascii="Constantia" w:hAnsi="Constantia" w:cs="Melior"/>
          <w:sz w:val="24"/>
          <w:szCs w:val="24"/>
        </w:rPr>
        <w:t xml:space="preserve">  CACFP nutrition education should qualify as training hours to meet the new </w:t>
      </w:r>
      <w:proofErr w:type="gramStart"/>
      <w:r w:rsidRPr="000B468F">
        <w:rPr>
          <w:rFonts w:ascii="Constantia" w:hAnsi="Constantia" w:cs="Melior"/>
          <w:sz w:val="24"/>
          <w:szCs w:val="24"/>
        </w:rPr>
        <w:t>child care</w:t>
      </w:r>
      <w:proofErr w:type="gramEnd"/>
      <w:r w:rsidRPr="000B468F">
        <w:rPr>
          <w:rFonts w:ascii="Constantia" w:hAnsi="Constantia" w:cs="Melior"/>
          <w:sz w:val="24"/>
          <w:szCs w:val="24"/>
        </w:rPr>
        <w:t xml:space="preserve"> nutrition training requirement for providers.  (45 CFR 98.41(a)(3)(vi))</w:t>
      </w:r>
    </w:p>
    <w:p w:rsidR="000B468F" w:rsidRDefault="000B468F" w:rsidP="000B468F">
      <w:pPr>
        <w:autoSpaceDE w:val="0"/>
        <w:autoSpaceDN w:val="0"/>
        <w:adjustRightInd w:val="0"/>
        <w:spacing w:after="0" w:line="240" w:lineRule="auto"/>
        <w:rPr>
          <w:rFonts w:ascii="Constantia" w:hAnsi="Constantia" w:cs="Melior"/>
          <w:sz w:val="24"/>
          <w:szCs w:val="24"/>
        </w:rPr>
      </w:pPr>
    </w:p>
    <w:p w:rsidR="000B468F" w:rsidRDefault="000B468F" w:rsidP="000B468F">
      <w:pPr>
        <w:autoSpaceDE w:val="0"/>
        <w:autoSpaceDN w:val="0"/>
        <w:adjustRightInd w:val="0"/>
        <w:spacing w:after="0" w:line="240" w:lineRule="auto"/>
        <w:ind w:left="720"/>
        <w:rPr>
          <w:rFonts w:ascii="Constantia" w:hAnsi="Constantia" w:cs="Melior"/>
          <w:sz w:val="24"/>
          <w:szCs w:val="24"/>
        </w:rPr>
      </w:pPr>
      <w:r w:rsidRPr="00A30004">
        <w:rPr>
          <w:rFonts w:ascii="Constantia" w:hAnsi="Constantia" w:cs="Melior"/>
          <w:sz w:val="24"/>
          <w:szCs w:val="24"/>
        </w:rPr>
        <w:t xml:space="preserve">CACFP nutrition education should qualify as training hours to meet the new </w:t>
      </w:r>
      <w:proofErr w:type="gramStart"/>
      <w:r w:rsidRPr="00A30004">
        <w:rPr>
          <w:rFonts w:ascii="Constantia" w:hAnsi="Constantia" w:cs="Melior"/>
          <w:sz w:val="24"/>
          <w:szCs w:val="24"/>
        </w:rPr>
        <w:t>nutrition training</w:t>
      </w:r>
      <w:proofErr w:type="gramEnd"/>
      <w:r w:rsidRPr="00A30004">
        <w:rPr>
          <w:rFonts w:ascii="Constantia" w:hAnsi="Constantia" w:cs="Melior"/>
          <w:sz w:val="24"/>
          <w:szCs w:val="24"/>
        </w:rPr>
        <w:t xml:space="preserve"> requirement</w:t>
      </w:r>
      <w:r w:rsidRPr="00727E5B">
        <w:rPr>
          <w:rFonts w:ascii="Constantia" w:hAnsi="Constantia" w:cs="Melior"/>
          <w:sz w:val="24"/>
          <w:szCs w:val="24"/>
        </w:rPr>
        <w:t>:  “</w:t>
      </w:r>
      <w:r w:rsidRPr="00F01B70">
        <w:rPr>
          <w:rFonts w:ascii="Constantia" w:hAnsi="Constantia" w:cs="Melior"/>
          <w:i/>
          <w:sz w:val="24"/>
          <w:szCs w:val="24"/>
        </w:rPr>
        <w:t>age-appropriate nutrition, feeding, including support for breastfeeding, and physical activity</w:t>
      </w:r>
      <w:r w:rsidRPr="00727E5B">
        <w:rPr>
          <w:rFonts w:ascii="Constantia" w:hAnsi="Constantia" w:cs="Melior"/>
          <w:sz w:val="24"/>
          <w:szCs w:val="24"/>
        </w:rPr>
        <w:t>.”</w:t>
      </w:r>
      <w:r>
        <w:rPr>
          <w:rFonts w:ascii="Constantia" w:hAnsi="Constantia" w:cs="Melior"/>
          <w:sz w:val="24"/>
          <w:szCs w:val="24"/>
        </w:rPr>
        <w:t xml:space="preserve">  CACFP nutrition education is free and focused on helping to facilitate </w:t>
      </w:r>
      <w:proofErr w:type="gramStart"/>
      <w:r>
        <w:rPr>
          <w:rFonts w:ascii="Constantia" w:hAnsi="Constantia" w:cs="Melior"/>
          <w:sz w:val="24"/>
          <w:szCs w:val="24"/>
        </w:rPr>
        <w:t>low income</w:t>
      </w:r>
      <w:proofErr w:type="gramEnd"/>
      <w:r>
        <w:rPr>
          <w:rFonts w:ascii="Constantia" w:hAnsi="Constantia" w:cs="Melior"/>
          <w:sz w:val="24"/>
          <w:szCs w:val="24"/>
        </w:rPr>
        <w:t xml:space="preserve"> providers understanding of early childhood nutrition and feeding with the benefit of observing meals served in child care.  Consistent with the Healthy, Hunger Free Kids Act CACFP is required to provide nutrition and physical activity education and training.  State Lead Ag</w:t>
      </w:r>
      <w:r w:rsidRPr="00F533F2">
        <w:rPr>
          <w:rFonts w:ascii="Constantia" w:hAnsi="Constantia" w:cs="Melior"/>
          <w:sz w:val="24"/>
          <w:szCs w:val="24"/>
        </w:rPr>
        <w:t xml:space="preserve">encies </w:t>
      </w:r>
      <w:r>
        <w:rPr>
          <w:rFonts w:ascii="Constantia" w:hAnsi="Constantia" w:cs="Melior"/>
          <w:sz w:val="24"/>
          <w:szCs w:val="24"/>
        </w:rPr>
        <w:t xml:space="preserve">can coordinate with the CACFP agencies and sponsoring organizations </w:t>
      </w:r>
      <w:r w:rsidRPr="00F533F2">
        <w:rPr>
          <w:rFonts w:ascii="Constantia" w:hAnsi="Constantia" w:cs="Melior"/>
          <w:sz w:val="24"/>
          <w:szCs w:val="24"/>
        </w:rPr>
        <w:t xml:space="preserve">to allow providers to meet the new nutrition training requirements through CACFP nutrition education.  </w:t>
      </w:r>
    </w:p>
    <w:p w:rsidR="004E6D12" w:rsidRDefault="004E6D12" w:rsidP="000B468F">
      <w:pPr>
        <w:autoSpaceDE w:val="0"/>
        <w:autoSpaceDN w:val="0"/>
        <w:adjustRightInd w:val="0"/>
        <w:spacing w:after="0" w:line="240" w:lineRule="auto"/>
        <w:ind w:left="720"/>
        <w:rPr>
          <w:rFonts w:ascii="Constantia" w:hAnsi="Constantia" w:cs="Melior"/>
          <w:sz w:val="24"/>
          <w:szCs w:val="24"/>
        </w:rPr>
      </w:pPr>
    </w:p>
    <w:p w:rsidR="000B468F" w:rsidRDefault="000B468F" w:rsidP="000B468F">
      <w:pPr>
        <w:autoSpaceDE w:val="0"/>
        <w:autoSpaceDN w:val="0"/>
        <w:adjustRightInd w:val="0"/>
        <w:spacing w:after="0" w:line="240" w:lineRule="auto"/>
        <w:ind w:left="720"/>
        <w:rPr>
          <w:rFonts w:ascii="Constantia" w:hAnsi="Constantia" w:cs="Melior"/>
          <w:sz w:val="24"/>
          <w:szCs w:val="24"/>
        </w:rPr>
      </w:pPr>
    </w:p>
    <w:p w:rsidR="00666A79" w:rsidRPr="00F0686E" w:rsidRDefault="00BC2539" w:rsidP="00F0686E">
      <w:pPr>
        <w:pStyle w:val="ListParagraph"/>
        <w:numPr>
          <w:ilvl w:val="0"/>
          <w:numId w:val="8"/>
        </w:numPr>
        <w:autoSpaceDE w:val="0"/>
        <w:autoSpaceDN w:val="0"/>
        <w:adjustRightInd w:val="0"/>
        <w:spacing w:after="0" w:line="240" w:lineRule="auto"/>
        <w:rPr>
          <w:rFonts w:ascii="Constantia" w:hAnsi="Constantia"/>
          <w:sz w:val="24"/>
          <w:szCs w:val="24"/>
        </w:rPr>
      </w:pPr>
      <w:r w:rsidRPr="00F0686E">
        <w:rPr>
          <w:rFonts w:ascii="Constantia" w:hAnsi="Constantia"/>
          <w:b/>
          <w:i/>
          <w:sz w:val="24"/>
          <w:szCs w:val="24"/>
        </w:rPr>
        <w:t>Recommendation:</w:t>
      </w:r>
      <w:r w:rsidRPr="00F0686E">
        <w:rPr>
          <w:rFonts w:ascii="Constantia" w:hAnsi="Constantia"/>
          <w:sz w:val="24"/>
          <w:szCs w:val="24"/>
        </w:rPr>
        <w:t xml:space="preserve"> </w:t>
      </w:r>
      <w:r w:rsidR="004B04B6" w:rsidRPr="00F0686E">
        <w:rPr>
          <w:rFonts w:ascii="Constantia" w:hAnsi="Constantia"/>
          <w:sz w:val="24"/>
          <w:szCs w:val="24"/>
        </w:rPr>
        <w:t>Include CACFP participation as a</w:t>
      </w:r>
      <w:r w:rsidR="00EB60D4" w:rsidRPr="00F0686E">
        <w:rPr>
          <w:rFonts w:ascii="Constantia" w:hAnsi="Constantia"/>
          <w:sz w:val="24"/>
          <w:szCs w:val="24"/>
        </w:rPr>
        <w:t xml:space="preserve"> </w:t>
      </w:r>
      <w:proofErr w:type="gramStart"/>
      <w:r w:rsidR="004B04B6" w:rsidRPr="00F0686E">
        <w:rPr>
          <w:rFonts w:ascii="Constantia" w:hAnsi="Constantia"/>
          <w:sz w:val="24"/>
          <w:szCs w:val="24"/>
        </w:rPr>
        <w:t>minimum reporting</w:t>
      </w:r>
      <w:proofErr w:type="gramEnd"/>
      <w:r w:rsidR="004B04B6" w:rsidRPr="00F0686E">
        <w:rPr>
          <w:rFonts w:ascii="Constantia" w:hAnsi="Constantia"/>
          <w:sz w:val="24"/>
          <w:szCs w:val="24"/>
        </w:rPr>
        <w:t xml:space="preserve"> requirement</w:t>
      </w:r>
      <w:r w:rsidR="00B4305D" w:rsidRPr="00F0686E">
        <w:rPr>
          <w:rFonts w:ascii="Constantia" w:hAnsi="Constantia"/>
          <w:sz w:val="24"/>
          <w:szCs w:val="24"/>
        </w:rPr>
        <w:t xml:space="preserve"> </w:t>
      </w:r>
      <w:r w:rsidR="00666A79" w:rsidRPr="00F0686E">
        <w:rPr>
          <w:rFonts w:ascii="Constantia" w:hAnsi="Constantia"/>
          <w:sz w:val="24"/>
          <w:szCs w:val="24"/>
        </w:rPr>
        <w:t xml:space="preserve">for </w:t>
      </w:r>
      <w:r w:rsidR="00B4305D" w:rsidRPr="00F0686E">
        <w:rPr>
          <w:rFonts w:ascii="Constantia" w:hAnsi="Constantia"/>
          <w:sz w:val="24"/>
          <w:szCs w:val="24"/>
        </w:rPr>
        <w:t>provider-specific quality information posted on the user-friendly web-site</w:t>
      </w:r>
      <w:r w:rsidR="00666A79" w:rsidRPr="00F0686E">
        <w:rPr>
          <w:rFonts w:ascii="Constantia" w:hAnsi="Constantia"/>
          <w:sz w:val="24"/>
          <w:szCs w:val="24"/>
        </w:rPr>
        <w:t xml:space="preserve">, and the </w:t>
      </w:r>
      <w:r w:rsidR="00EB60D4" w:rsidRPr="00F0686E">
        <w:rPr>
          <w:rFonts w:ascii="Constantia" w:hAnsi="Constantia"/>
          <w:sz w:val="24"/>
          <w:szCs w:val="24"/>
        </w:rPr>
        <w:t>report to parents on the qualifications of the provider they have chosen</w:t>
      </w:r>
      <w:r w:rsidR="00362432" w:rsidRPr="00F0686E">
        <w:rPr>
          <w:rFonts w:ascii="Constantia" w:hAnsi="Constantia"/>
          <w:sz w:val="24"/>
          <w:szCs w:val="24"/>
        </w:rPr>
        <w:t>.  (</w:t>
      </w:r>
      <w:r w:rsidR="00666A79" w:rsidRPr="00F0686E">
        <w:rPr>
          <w:rFonts w:ascii="Constantia" w:hAnsi="Constantia"/>
          <w:sz w:val="24"/>
          <w:szCs w:val="24"/>
        </w:rPr>
        <w:t xml:space="preserve">(45 CFR 98.33(a)) and </w:t>
      </w:r>
      <w:r w:rsidR="00362432" w:rsidRPr="00F0686E">
        <w:rPr>
          <w:rFonts w:ascii="Constantia" w:hAnsi="Constantia"/>
          <w:sz w:val="24"/>
          <w:szCs w:val="24"/>
        </w:rPr>
        <w:t>45 CFR 98.33(c))</w:t>
      </w:r>
      <w:r w:rsidR="00B4305D" w:rsidRPr="00F0686E">
        <w:rPr>
          <w:rFonts w:ascii="Constantia" w:hAnsi="Constantia"/>
          <w:sz w:val="24"/>
          <w:szCs w:val="24"/>
        </w:rPr>
        <w:t xml:space="preserve"> </w:t>
      </w:r>
    </w:p>
    <w:p w:rsidR="00666A79" w:rsidRDefault="00666A79" w:rsidP="00666A79">
      <w:pPr>
        <w:pStyle w:val="ListParagraph"/>
        <w:spacing w:after="0"/>
        <w:ind w:left="1800"/>
        <w:rPr>
          <w:rFonts w:ascii="Constantia" w:hAnsi="Constantia"/>
          <w:sz w:val="24"/>
          <w:szCs w:val="24"/>
        </w:rPr>
      </w:pPr>
    </w:p>
    <w:p w:rsidR="00EB60D4" w:rsidRPr="00F0686E" w:rsidRDefault="00F0686E" w:rsidP="00F0686E">
      <w:pPr>
        <w:spacing w:after="0"/>
        <w:ind w:left="720"/>
        <w:rPr>
          <w:rFonts w:ascii="Constantia" w:hAnsi="Constantia"/>
          <w:sz w:val="24"/>
          <w:szCs w:val="24"/>
        </w:rPr>
      </w:pPr>
      <w:r>
        <w:rPr>
          <w:rFonts w:ascii="Constantia" w:hAnsi="Constantia"/>
          <w:sz w:val="24"/>
          <w:szCs w:val="24"/>
        </w:rPr>
        <w:t>Reporting on</w:t>
      </w:r>
      <w:r w:rsidR="00666A79" w:rsidRPr="00F0686E">
        <w:rPr>
          <w:rFonts w:ascii="Constantia" w:hAnsi="Constantia"/>
          <w:sz w:val="24"/>
          <w:szCs w:val="24"/>
        </w:rPr>
        <w:t xml:space="preserve"> CACFP </w:t>
      </w:r>
      <w:r w:rsidR="004B04B6" w:rsidRPr="00F0686E">
        <w:rPr>
          <w:rFonts w:ascii="Constantia" w:hAnsi="Constantia"/>
          <w:sz w:val="24"/>
          <w:szCs w:val="24"/>
        </w:rPr>
        <w:t>participation</w:t>
      </w:r>
      <w:r w:rsidRPr="00F0686E">
        <w:rPr>
          <w:rFonts w:ascii="Constantia" w:hAnsi="Constantia"/>
          <w:sz w:val="24"/>
          <w:szCs w:val="24"/>
        </w:rPr>
        <w:t xml:space="preserve"> will strengthen </w:t>
      </w:r>
      <w:r w:rsidR="004B04B6" w:rsidRPr="00F0686E">
        <w:rPr>
          <w:rFonts w:ascii="Constantia" w:hAnsi="Constantia"/>
          <w:sz w:val="24"/>
          <w:szCs w:val="24"/>
        </w:rPr>
        <w:t xml:space="preserve">the important new requirements </w:t>
      </w:r>
      <w:r>
        <w:rPr>
          <w:rFonts w:ascii="Constantia" w:hAnsi="Constantia"/>
          <w:sz w:val="24"/>
          <w:szCs w:val="24"/>
        </w:rPr>
        <w:t>focused on</w:t>
      </w:r>
      <w:r w:rsidR="004B04B6" w:rsidRPr="00F0686E">
        <w:rPr>
          <w:rFonts w:ascii="Constantia" w:hAnsi="Constantia"/>
          <w:sz w:val="24"/>
          <w:szCs w:val="24"/>
        </w:rPr>
        <w:t xml:space="preserve"> </w:t>
      </w:r>
      <w:r>
        <w:rPr>
          <w:rFonts w:ascii="Constantia" w:hAnsi="Constantia"/>
          <w:sz w:val="24"/>
          <w:szCs w:val="24"/>
        </w:rPr>
        <w:t>providing</w:t>
      </w:r>
      <w:r w:rsidR="00666A79" w:rsidRPr="00F0686E">
        <w:rPr>
          <w:rFonts w:ascii="Constantia" w:hAnsi="Constantia"/>
          <w:sz w:val="24"/>
          <w:szCs w:val="24"/>
        </w:rPr>
        <w:t xml:space="preserve"> com</w:t>
      </w:r>
      <w:r w:rsidR="004B04B6" w:rsidRPr="00F0686E">
        <w:rPr>
          <w:rFonts w:ascii="Constantia" w:hAnsi="Constantia"/>
          <w:sz w:val="24"/>
          <w:szCs w:val="24"/>
        </w:rPr>
        <w:t xml:space="preserve">prehensive consumer education.  </w:t>
      </w:r>
      <w:r w:rsidR="00362432" w:rsidRPr="00F0686E">
        <w:rPr>
          <w:rFonts w:ascii="Constantia" w:hAnsi="Constantia"/>
          <w:sz w:val="24"/>
          <w:szCs w:val="24"/>
        </w:rPr>
        <w:t xml:space="preserve">A robust accounting of </w:t>
      </w:r>
      <w:r w:rsidR="00B4305D" w:rsidRPr="00F0686E">
        <w:rPr>
          <w:rFonts w:ascii="Constantia" w:hAnsi="Constantia"/>
          <w:sz w:val="24"/>
          <w:szCs w:val="24"/>
        </w:rPr>
        <w:t>provider</w:t>
      </w:r>
      <w:r w:rsidR="00362432" w:rsidRPr="00F0686E">
        <w:rPr>
          <w:rFonts w:ascii="Constantia" w:hAnsi="Constantia"/>
          <w:sz w:val="24"/>
          <w:szCs w:val="24"/>
        </w:rPr>
        <w:t xml:space="preserve"> qualifications, certifications</w:t>
      </w:r>
      <w:r w:rsidR="00B4305D" w:rsidRPr="00F0686E">
        <w:rPr>
          <w:rFonts w:ascii="Constantia" w:hAnsi="Constantia"/>
          <w:sz w:val="24"/>
          <w:szCs w:val="24"/>
        </w:rPr>
        <w:t>, and licensing status</w:t>
      </w:r>
      <w:r w:rsidR="00362432" w:rsidRPr="00F0686E">
        <w:rPr>
          <w:rFonts w:ascii="Constantia" w:hAnsi="Constantia"/>
          <w:sz w:val="24"/>
          <w:szCs w:val="24"/>
        </w:rPr>
        <w:t xml:space="preserve"> including CACFP participation will be very useful</w:t>
      </w:r>
      <w:r w:rsidR="00B4305D" w:rsidRPr="00F0686E">
        <w:rPr>
          <w:rFonts w:ascii="Constantia" w:hAnsi="Constantia"/>
          <w:sz w:val="24"/>
          <w:szCs w:val="24"/>
        </w:rPr>
        <w:t xml:space="preserve"> to parents. </w:t>
      </w:r>
      <w:r w:rsidR="006400D6">
        <w:rPr>
          <w:rFonts w:ascii="Constantia" w:hAnsi="Constantia"/>
          <w:sz w:val="24"/>
          <w:szCs w:val="24"/>
        </w:rPr>
        <w:t xml:space="preserve"> </w:t>
      </w:r>
    </w:p>
    <w:p w:rsidR="00BC2539" w:rsidRDefault="00BC2539" w:rsidP="00BC2539">
      <w:pPr>
        <w:spacing w:after="0"/>
        <w:rPr>
          <w:rFonts w:ascii="Constantia" w:hAnsi="Constantia"/>
          <w:sz w:val="24"/>
          <w:szCs w:val="24"/>
        </w:rPr>
      </w:pPr>
    </w:p>
    <w:p w:rsidR="006400D6" w:rsidRDefault="006400D6" w:rsidP="006400D6">
      <w:pPr>
        <w:spacing w:after="0"/>
        <w:rPr>
          <w:rFonts w:ascii="Constantia" w:hAnsi="Constantia"/>
          <w:sz w:val="24"/>
          <w:szCs w:val="24"/>
        </w:rPr>
      </w:pPr>
    </w:p>
    <w:p w:rsidR="006400D6" w:rsidRPr="00417219" w:rsidRDefault="006400D6" w:rsidP="00255E5C">
      <w:pPr>
        <w:pStyle w:val="ListParagraph"/>
        <w:numPr>
          <w:ilvl w:val="0"/>
          <w:numId w:val="8"/>
        </w:numPr>
        <w:spacing w:after="0"/>
        <w:rPr>
          <w:rFonts w:ascii="Constantia" w:hAnsi="Constantia"/>
          <w:sz w:val="24"/>
          <w:szCs w:val="24"/>
        </w:rPr>
      </w:pPr>
      <w:r w:rsidRPr="00417219">
        <w:rPr>
          <w:rFonts w:ascii="Constantia" w:hAnsi="Constantia"/>
          <w:b/>
          <w:sz w:val="24"/>
          <w:szCs w:val="24"/>
        </w:rPr>
        <w:t>Recommendation:</w:t>
      </w:r>
      <w:r w:rsidRPr="00417219">
        <w:rPr>
          <w:rFonts w:ascii="Constantia" w:hAnsi="Constantia"/>
          <w:sz w:val="24"/>
          <w:szCs w:val="24"/>
        </w:rPr>
        <w:t xml:space="preserve"> Include CACFP participation as one of the indicators of quality in the “transparent system of quality indicators” including QRIS systems. (45 CFR 98.33(b)) Non-CACFP eligible providers would be required to meet the CACFP standards.</w:t>
      </w:r>
    </w:p>
    <w:p w:rsidR="006400D6" w:rsidRDefault="006400D6" w:rsidP="006400D6">
      <w:pPr>
        <w:spacing w:after="0"/>
        <w:ind w:left="720"/>
        <w:rPr>
          <w:rFonts w:ascii="Constantia" w:hAnsi="Constantia"/>
          <w:sz w:val="24"/>
          <w:szCs w:val="24"/>
        </w:rPr>
      </w:pPr>
    </w:p>
    <w:p w:rsidR="006400D6" w:rsidRDefault="00D73E70" w:rsidP="00A23994">
      <w:pPr>
        <w:spacing w:after="0"/>
        <w:ind w:left="720"/>
        <w:rPr>
          <w:rFonts w:ascii="Constantia" w:hAnsi="Constantia"/>
          <w:sz w:val="24"/>
          <w:szCs w:val="24"/>
        </w:rPr>
      </w:pPr>
      <w:r>
        <w:rPr>
          <w:rFonts w:ascii="Constantia" w:hAnsi="Constantia"/>
          <w:sz w:val="24"/>
          <w:szCs w:val="24"/>
        </w:rPr>
        <w:t>Including CACFP participation as a quality indicator will help</w:t>
      </w:r>
      <w:r w:rsidRPr="00D73E70">
        <w:rPr>
          <w:rFonts w:ascii="Constantia" w:hAnsi="Constantia"/>
          <w:sz w:val="24"/>
          <w:szCs w:val="24"/>
        </w:rPr>
        <w:t xml:space="preserve"> realize CCDF’s goal to “</w:t>
      </w:r>
      <w:r w:rsidRPr="00D73E70">
        <w:rPr>
          <w:rFonts w:ascii="Constantia" w:hAnsi="Constantia"/>
          <w:i/>
          <w:sz w:val="24"/>
          <w:szCs w:val="24"/>
        </w:rPr>
        <w:t>serve children in safe, healthy, nurturing child care settings that are highly effective in promoting learning, child development, school readiness and success</w:t>
      </w:r>
      <w:r>
        <w:rPr>
          <w:rFonts w:ascii="Constantia" w:hAnsi="Constantia"/>
          <w:sz w:val="24"/>
          <w:szCs w:val="24"/>
        </w:rPr>
        <w:t>.”</w:t>
      </w:r>
      <w:r w:rsidRPr="00D73E70">
        <w:rPr>
          <w:rFonts w:ascii="Constantia" w:hAnsi="Constantia"/>
          <w:sz w:val="24"/>
          <w:szCs w:val="24"/>
        </w:rPr>
        <w:t xml:space="preserve"> </w:t>
      </w:r>
      <w:r>
        <w:rPr>
          <w:rFonts w:ascii="Constantia" w:hAnsi="Constantia"/>
          <w:sz w:val="24"/>
          <w:szCs w:val="24"/>
        </w:rPr>
        <w:t xml:space="preserve"> </w:t>
      </w:r>
      <w:r w:rsidR="006400D6" w:rsidRPr="00727E5B">
        <w:rPr>
          <w:rFonts w:ascii="Constantia" w:hAnsi="Constantia"/>
          <w:sz w:val="24"/>
          <w:szCs w:val="24"/>
        </w:rPr>
        <w:t xml:space="preserve">As the </w:t>
      </w:r>
      <w:r w:rsidR="006400D6">
        <w:rPr>
          <w:rFonts w:ascii="Constantia" w:hAnsi="Constantia"/>
          <w:sz w:val="24"/>
          <w:szCs w:val="24"/>
        </w:rPr>
        <w:t xml:space="preserve">rule </w:t>
      </w:r>
      <w:r>
        <w:rPr>
          <w:rFonts w:ascii="Constantia" w:hAnsi="Constantia"/>
          <w:sz w:val="24"/>
          <w:szCs w:val="24"/>
        </w:rPr>
        <w:t>preamble points out, CACFP supports</w:t>
      </w:r>
      <w:r w:rsidR="006400D6" w:rsidRPr="00727E5B">
        <w:rPr>
          <w:rFonts w:ascii="Constantia" w:hAnsi="Constantia"/>
          <w:sz w:val="24"/>
          <w:szCs w:val="24"/>
        </w:rPr>
        <w:t xml:space="preserve"> good nutrition in child care, “research has shown that public programs can improve the nutritional quality of the food, as children who receive food through government-regulated programs (e.g., the U.S. Department of Agriculture Child and Adult Care Food Program) eat </w:t>
      </w:r>
      <w:r w:rsidR="006400D6" w:rsidRPr="00727E5B">
        <w:rPr>
          <w:rFonts w:ascii="Constantia" w:hAnsi="Constantia"/>
          <w:sz w:val="24"/>
          <w:szCs w:val="24"/>
        </w:rPr>
        <w:lastRenderedPageBreak/>
        <w:t>healthier than those bringing food from home.”</w:t>
      </w:r>
      <w:r w:rsidR="006400D6">
        <w:rPr>
          <w:rFonts w:ascii="Constantia" w:hAnsi="Constantia"/>
          <w:sz w:val="24"/>
          <w:szCs w:val="24"/>
        </w:rPr>
        <w:t xml:space="preserve"> </w:t>
      </w:r>
      <w:r w:rsidR="00A23994">
        <w:rPr>
          <w:rFonts w:ascii="Constantia" w:hAnsi="Constantia"/>
          <w:sz w:val="24"/>
          <w:szCs w:val="24"/>
        </w:rPr>
        <w:t xml:space="preserve"> </w:t>
      </w:r>
      <w:r w:rsidR="006C4892">
        <w:rPr>
          <w:rFonts w:ascii="Constantia" w:hAnsi="Constantia"/>
          <w:sz w:val="24"/>
          <w:szCs w:val="24"/>
        </w:rPr>
        <w:t xml:space="preserve">The research and reports have identified </w:t>
      </w:r>
      <w:r>
        <w:rPr>
          <w:rFonts w:ascii="Constantia" w:hAnsi="Constantia"/>
          <w:sz w:val="24"/>
          <w:szCs w:val="24"/>
        </w:rPr>
        <w:t xml:space="preserve">CACFP as key to </w:t>
      </w:r>
      <w:r w:rsidR="006C4892">
        <w:rPr>
          <w:rFonts w:ascii="Constantia" w:hAnsi="Constantia"/>
          <w:sz w:val="24"/>
          <w:szCs w:val="24"/>
        </w:rPr>
        <w:t xml:space="preserve">preventing obesity and supporting good nutrition in early childhood settings.  </w:t>
      </w:r>
      <w:r>
        <w:rPr>
          <w:rFonts w:ascii="Constantia" w:hAnsi="Constantia"/>
          <w:sz w:val="24"/>
          <w:szCs w:val="24"/>
        </w:rPr>
        <w:t xml:space="preserve"> </w:t>
      </w:r>
      <w:r w:rsidR="006400D6">
        <w:rPr>
          <w:rFonts w:ascii="Constantia" w:hAnsi="Constantia"/>
          <w:sz w:val="24"/>
          <w:szCs w:val="24"/>
        </w:rPr>
        <w:t xml:space="preserve">In addition, studies, including U.S. General Accounting Office and HHS supported research, have shown CACFP supports not only good nutrition but also quality child care. </w:t>
      </w:r>
    </w:p>
    <w:p w:rsidR="006400D6" w:rsidRPr="00B33303" w:rsidRDefault="006400D6" w:rsidP="006400D6">
      <w:pPr>
        <w:spacing w:after="0"/>
        <w:ind w:left="720"/>
        <w:rPr>
          <w:rFonts w:ascii="Constantia" w:hAnsi="Constantia"/>
          <w:sz w:val="24"/>
          <w:szCs w:val="24"/>
        </w:rPr>
      </w:pPr>
    </w:p>
    <w:p w:rsidR="000647AE" w:rsidRPr="00F01B70" w:rsidRDefault="00BD23F6" w:rsidP="00F01B70">
      <w:pPr>
        <w:pStyle w:val="ListParagraph"/>
        <w:numPr>
          <w:ilvl w:val="0"/>
          <w:numId w:val="8"/>
        </w:numPr>
        <w:autoSpaceDE w:val="0"/>
        <w:autoSpaceDN w:val="0"/>
        <w:adjustRightInd w:val="0"/>
        <w:spacing w:after="0" w:line="240" w:lineRule="auto"/>
        <w:rPr>
          <w:rFonts w:ascii="Constantia" w:hAnsi="Constantia" w:cs="Melior"/>
          <w:sz w:val="24"/>
          <w:szCs w:val="24"/>
        </w:rPr>
      </w:pPr>
      <w:r w:rsidRPr="00F01B70">
        <w:rPr>
          <w:rFonts w:ascii="Constantia" w:hAnsi="Constantia"/>
          <w:b/>
          <w:i/>
          <w:sz w:val="24"/>
          <w:szCs w:val="24"/>
        </w:rPr>
        <w:t>R</w:t>
      </w:r>
      <w:r w:rsidR="0088723F" w:rsidRPr="00F01B70">
        <w:rPr>
          <w:rFonts w:ascii="Constantia" w:hAnsi="Constantia"/>
          <w:b/>
          <w:i/>
          <w:sz w:val="24"/>
          <w:szCs w:val="24"/>
        </w:rPr>
        <w:t>ecommendation:</w:t>
      </w:r>
      <w:r w:rsidR="0088723F" w:rsidRPr="00F01B70">
        <w:rPr>
          <w:rFonts w:ascii="Constantia" w:hAnsi="Constantia"/>
          <w:sz w:val="24"/>
          <w:szCs w:val="24"/>
        </w:rPr>
        <w:t xml:space="preserve"> </w:t>
      </w:r>
      <w:r w:rsidR="000647AE" w:rsidRPr="00F01B70">
        <w:rPr>
          <w:rFonts w:ascii="Constantia" w:hAnsi="Constantia"/>
          <w:sz w:val="24"/>
          <w:szCs w:val="24"/>
        </w:rPr>
        <w:t xml:space="preserve">CACFP outreach </w:t>
      </w:r>
      <w:r w:rsidR="000B468F" w:rsidRPr="00F01B70">
        <w:rPr>
          <w:rFonts w:ascii="Constantia" w:hAnsi="Constantia"/>
          <w:sz w:val="24"/>
          <w:szCs w:val="24"/>
        </w:rPr>
        <w:t xml:space="preserve">should be </w:t>
      </w:r>
      <w:r w:rsidR="0050159E">
        <w:rPr>
          <w:rFonts w:ascii="Constantia" w:hAnsi="Constantia"/>
          <w:sz w:val="24"/>
          <w:szCs w:val="24"/>
        </w:rPr>
        <w:t xml:space="preserve">encouraged </w:t>
      </w:r>
      <w:r w:rsidR="000B468F" w:rsidRPr="00F01B70">
        <w:rPr>
          <w:rFonts w:ascii="Constantia" w:hAnsi="Constantia"/>
          <w:sz w:val="24"/>
          <w:szCs w:val="24"/>
        </w:rPr>
        <w:t xml:space="preserve">as </w:t>
      </w:r>
      <w:r w:rsidR="0050159E">
        <w:rPr>
          <w:rFonts w:ascii="Constantia" w:hAnsi="Constantia"/>
          <w:sz w:val="24"/>
          <w:szCs w:val="24"/>
        </w:rPr>
        <w:t xml:space="preserve">part of </w:t>
      </w:r>
      <w:r w:rsidR="000647AE" w:rsidRPr="00F01B70">
        <w:rPr>
          <w:rFonts w:ascii="Constantia" w:hAnsi="Constantia"/>
          <w:sz w:val="24"/>
          <w:szCs w:val="24"/>
        </w:rPr>
        <w:t>quality improvement activity crucial to the “</w:t>
      </w:r>
      <w:r w:rsidR="000647AE" w:rsidRPr="00F01B70">
        <w:rPr>
          <w:rFonts w:ascii="Constantia" w:hAnsi="Constantia" w:cs="Melior"/>
          <w:i/>
          <w:sz w:val="24"/>
          <w:szCs w:val="24"/>
        </w:rPr>
        <w:t xml:space="preserve">Implementation of an infrastructure of support to build </w:t>
      </w:r>
      <w:proofErr w:type="gramStart"/>
      <w:r w:rsidR="000647AE" w:rsidRPr="00F01B70">
        <w:rPr>
          <w:rFonts w:ascii="Constantia" w:hAnsi="Constantia" w:cs="Melior"/>
          <w:i/>
          <w:sz w:val="24"/>
          <w:szCs w:val="24"/>
        </w:rPr>
        <w:t>child care</w:t>
      </w:r>
      <w:proofErr w:type="gramEnd"/>
      <w:r w:rsidR="000647AE" w:rsidRPr="00F01B70">
        <w:rPr>
          <w:rFonts w:ascii="Constantia" w:hAnsi="Constantia" w:cs="Melior"/>
          <w:i/>
          <w:sz w:val="24"/>
          <w:szCs w:val="24"/>
        </w:rPr>
        <w:t xml:space="preserve"> provider capacity to promote health through wellness, physical activity and</w:t>
      </w:r>
      <w:r w:rsidR="00CA70E5" w:rsidRPr="00F01B70">
        <w:rPr>
          <w:rFonts w:ascii="Constantia" w:hAnsi="Constantia" w:cs="Melior"/>
          <w:i/>
          <w:sz w:val="24"/>
          <w:szCs w:val="24"/>
        </w:rPr>
        <w:t xml:space="preserve"> </w:t>
      </w:r>
      <w:r w:rsidR="000647AE" w:rsidRPr="00F01B70">
        <w:rPr>
          <w:rFonts w:ascii="Constantia" w:hAnsi="Constantia" w:cs="Melior"/>
          <w:i/>
          <w:sz w:val="24"/>
          <w:szCs w:val="24"/>
        </w:rPr>
        <w:t>nutrition programs</w:t>
      </w:r>
      <w:r w:rsidR="0050159E">
        <w:rPr>
          <w:rFonts w:ascii="Constantia" w:hAnsi="Constantia" w:cs="Melior"/>
          <w:sz w:val="24"/>
          <w:szCs w:val="24"/>
        </w:rPr>
        <w:t>.</w:t>
      </w:r>
      <w:r w:rsidR="000647AE" w:rsidRPr="00F01B70">
        <w:rPr>
          <w:rFonts w:ascii="Constantia" w:hAnsi="Constantia" w:cs="Melior"/>
          <w:sz w:val="24"/>
          <w:szCs w:val="24"/>
        </w:rPr>
        <w:t>”</w:t>
      </w:r>
      <w:r w:rsidR="000647AE" w:rsidRPr="00F01B70">
        <w:rPr>
          <w:rFonts w:ascii="Constantia" w:hAnsi="Constantia"/>
          <w:sz w:val="24"/>
          <w:szCs w:val="24"/>
        </w:rPr>
        <w:t xml:space="preserve"> </w:t>
      </w:r>
      <w:r w:rsidR="000647AE" w:rsidRPr="00F01B70">
        <w:rPr>
          <w:rFonts w:ascii="Constantia" w:hAnsi="Constantia" w:cs="Melior"/>
          <w:sz w:val="24"/>
          <w:szCs w:val="24"/>
        </w:rPr>
        <w:t xml:space="preserve">(45 </w:t>
      </w:r>
      <w:r w:rsidR="0050159E">
        <w:rPr>
          <w:rFonts w:ascii="Constantia" w:hAnsi="Constantia" w:cs="Melior"/>
          <w:sz w:val="24"/>
          <w:szCs w:val="24"/>
        </w:rPr>
        <w:t>CFR 98.51(a)(2)(v))</w:t>
      </w:r>
      <w:r w:rsidR="000647AE" w:rsidRPr="00F01B70">
        <w:rPr>
          <w:rFonts w:ascii="Constantia" w:hAnsi="Constantia" w:cs="Melior"/>
          <w:sz w:val="24"/>
          <w:szCs w:val="24"/>
        </w:rPr>
        <w:t xml:space="preserve">  </w:t>
      </w:r>
    </w:p>
    <w:p w:rsidR="000B468F" w:rsidRDefault="000B468F" w:rsidP="000B468F">
      <w:pPr>
        <w:autoSpaceDE w:val="0"/>
        <w:autoSpaceDN w:val="0"/>
        <w:adjustRightInd w:val="0"/>
        <w:spacing w:after="0" w:line="240" w:lineRule="auto"/>
        <w:rPr>
          <w:rFonts w:ascii="Constantia" w:hAnsi="Constantia"/>
          <w:sz w:val="24"/>
          <w:szCs w:val="24"/>
        </w:rPr>
      </w:pPr>
    </w:p>
    <w:p w:rsidR="000B468F" w:rsidRPr="000B468F" w:rsidRDefault="00F01B70" w:rsidP="00F01B70">
      <w:pPr>
        <w:autoSpaceDE w:val="0"/>
        <w:autoSpaceDN w:val="0"/>
        <w:adjustRightInd w:val="0"/>
        <w:spacing w:after="0" w:line="240" w:lineRule="auto"/>
        <w:ind w:left="720"/>
        <w:rPr>
          <w:rFonts w:ascii="Constantia" w:hAnsi="Constantia"/>
          <w:sz w:val="24"/>
          <w:szCs w:val="24"/>
        </w:rPr>
      </w:pPr>
      <w:r>
        <w:rPr>
          <w:rFonts w:ascii="Constantia" w:hAnsi="Constantia"/>
          <w:sz w:val="24"/>
          <w:szCs w:val="24"/>
        </w:rPr>
        <w:t xml:space="preserve">All Lead Agencies should be encouraging CACFP participation and engaging their networks in CACFP outreach on the local level.  </w:t>
      </w:r>
      <w:r w:rsidR="0050159E">
        <w:rPr>
          <w:rFonts w:ascii="Constantia" w:hAnsi="Constantia"/>
          <w:sz w:val="24"/>
          <w:szCs w:val="24"/>
        </w:rPr>
        <w:t xml:space="preserve">Local networks can partner with CACFP sponsorships to maximize CACFP expansion funds for outreach to underserved low-income and rural areas.  </w:t>
      </w:r>
      <w:r>
        <w:rPr>
          <w:rFonts w:ascii="Constantia" w:hAnsi="Constantia"/>
          <w:sz w:val="24"/>
          <w:szCs w:val="24"/>
        </w:rPr>
        <w:t>Where appropriate, the Department should</w:t>
      </w:r>
      <w:r w:rsidR="000B468F" w:rsidRPr="000B468F">
        <w:rPr>
          <w:rFonts w:ascii="Constantia" w:hAnsi="Constantia"/>
          <w:sz w:val="24"/>
          <w:szCs w:val="24"/>
        </w:rPr>
        <w:t xml:space="preserve"> highlight the existing State agency option to require CACFP participation for eligible </w:t>
      </w:r>
      <w:proofErr w:type="gramStart"/>
      <w:r w:rsidR="000B468F" w:rsidRPr="000B468F">
        <w:rPr>
          <w:rFonts w:ascii="Constantia" w:hAnsi="Constantia"/>
          <w:sz w:val="24"/>
          <w:szCs w:val="24"/>
        </w:rPr>
        <w:t>child care</w:t>
      </w:r>
      <w:proofErr w:type="gramEnd"/>
      <w:r w:rsidR="000B468F" w:rsidRPr="000B468F">
        <w:rPr>
          <w:rFonts w:ascii="Constantia" w:hAnsi="Constantia"/>
          <w:sz w:val="24"/>
          <w:szCs w:val="24"/>
        </w:rPr>
        <w:t xml:space="preserve"> on a statewide or county level basis.</w:t>
      </w:r>
      <w:r>
        <w:rPr>
          <w:rFonts w:ascii="Constantia" w:hAnsi="Constantia"/>
          <w:sz w:val="24"/>
          <w:szCs w:val="24"/>
        </w:rPr>
        <w:t xml:space="preserve">  The Center for Disease Control’s obesity prevention in early care and education grants include CACFP outreach as a fundable activity because of the key role CACFP plays in promoting good nutrition and health. </w:t>
      </w:r>
      <w:r w:rsidR="0050159E">
        <w:rPr>
          <w:rFonts w:ascii="Constantia" w:hAnsi="Constantia"/>
          <w:sz w:val="24"/>
          <w:szCs w:val="24"/>
        </w:rPr>
        <w:t xml:space="preserve">  The CDC prevention </w:t>
      </w:r>
      <w:proofErr w:type="gramStart"/>
      <w:r w:rsidR="0050159E">
        <w:rPr>
          <w:rFonts w:ascii="Constantia" w:hAnsi="Constantia"/>
          <w:sz w:val="24"/>
          <w:szCs w:val="24"/>
        </w:rPr>
        <w:t>grant</w:t>
      </w:r>
      <w:proofErr w:type="gramEnd"/>
      <w:r w:rsidR="0050159E">
        <w:rPr>
          <w:rFonts w:ascii="Constantia" w:hAnsi="Constantia"/>
          <w:sz w:val="24"/>
          <w:szCs w:val="24"/>
        </w:rPr>
        <w:t xml:space="preserve"> work currently being done by Lead Agencies and local networks will provide important best practice models. </w:t>
      </w:r>
    </w:p>
    <w:p w:rsidR="000647AE" w:rsidRPr="00B33303" w:rsidRDefault="000647AE" w:rsidP="00EB60D4">
      <w:pPr>
        <w:spacing w:after="0"/>
        <w:rPr>
          <w:rFonts w:ascii="Constantia" w:hAnsi="Constantia"/>
          <w:sz w:val="24"/>
          <w:szCs w:val="24"/>
        </w:rPr>
      </w:pPr>
    </w:p>
    <w:p w:rsidR="00417219" w:rsidRDefault="00BD23F6" w:rsidP="00417219">
      <w:pPr>
        <w:pStyle w:val="ListParagraph"/>
        <w:numPr>
          <w:ilvl w:val="0"/>
          <w:numId w:val="8"/>
        </w:numPr>
        <w:spacing w:after="0"/>
        <w:rPr>
          <w:rFonts w:ascii="Constantia" w:hAnsi="Constantia"/>
          <w:sz w:val="24"/>
          <w:szCs w:val="24"/>
        </w:rPr>
      </w:pPr>
      <w:r w:rsidRPr="00F01B70">
        <w:rPr>
          <w:rFonts w:ascii="Constantia" w:hAnsi="Constantia"/>
          <w:b/>
          <w:i/>
          <w:sz w:val="24"/>
          <w:szCs w:val="24"/>
        </w:rPr>
        <w:t>R</w:t>
      </w:r>
      <w:r w:rsidR="0028281D" w:rsidRPr="00F01B70">
        <w:rPr>
          <w:rFonts w:ascii="Constantia" w:hAnsi="Constantia"/>
          <w:b/>
          <w:i/>
          <w:sz w:val="24"/>
          <w:szCs w:val="24"/>
        </w:rPr>
        <w:t>ecommendation:</w:t>
      </w:r>
      <w:r w:rsidR="0028281D" w:rsidRPr="00F01B70">
        <w:rPr>
          <w:rFonts w:ascii="Constantia" w:hAnsi="Constantia"/>
          <w:i/>
          <w:sz w:val="24"/>
          <w:szCs w:val="24"/>
        </w:rPr>
        <w:t xml:space="preserve"> </w:t>
      </w:r>
      <w:r w:rsidR="000B468F" w:rsidRPr="00F01B70">
        <w:rPr>
          <w:rFonts w:ascii="Constantia" w:hAnsi="Constantia"/>
          <w:sz w:val="24"/>
          <w:szCs w:val="24"/>
        </w:rPr>
        <w:t xml:space="preserve"> Include</w:t>
      </w:r>
      <w:r w:rsidR="0001216C" w:rsidRPr="00F01B70">
        <w:rPr>
          <w:rFonts w:ascii="Constantia" w:hAnsi="Constantia"/>
          <w:sz w:val="24"/>
          <w:szCs w:val="24"/>
        </w:rPr>
        <w:t xml:space="preserve"> </w:t>
      </w:r>
      <w:r w:rsidR="00EB60D4" w:rsidRPr="00F01B70">
        <w:rPr>
          <w:rFonts w:ascii="Constantia" w:hAnsi="Constantia"/>
          <w:sz w:val="24"/>
          <w:szCs w:val="24"/>
        </w:rPr>
        <w:t>C</w:t>
      </w:r>
      <w:r w:rsidR="0001216C" w:rsidRPr="00F01B70">
        <w:rPr>
          <w:rFonts w:ascii="Constantia" w:hAnsi="Constantia"/>
          <w:sz w:val="24"/>
          <w:szCs w:val="24"/>
        </w:rPr>
        <w:t>ACFP</w:t>
      </w:r>
      <w:r w:rsidR="00EB60D4" w:rsidRPr="00F01B70">
        <w:rPr>
          <w:rFonts w:ascii="Constantia" w:hAnsi="Constantia"/>
          <w:sz w:val="24"/>
          <w:szCs w:val="24"/>
        </w:rPr>
        <w:t xml:space="preserve"> </w:t>
      </w:r>
      <w:r w:rsidR="0001216C" w:rsidRPr="00F01B70">
        <w:rPr>
          <w:rFonts w:ascii="Constantia" w:hAnsi="Constantia"/>
          <w:sz w:val="24"/>
          <w:szCs w:val="24"/>
        </w:rPr>
        <w:t xml:space="preserve">state </w:t>
      </w:r>
      <w:r w:rsidR="0028281D" w:rsidRPr="00F01B70">
        <w:rPr>
          <w:rFonts w:ascii="Constantia" w:hAnsi="Constantia"/>
          <w:sz w:val="24"/>
          <w:szCs w:val="24"/>
        </w:rPr>
        <w:t>a</w:t>
      </w:r>
      <w:r w:rsidR="00EB60D4" w:rsidRPr="00F01B70">
        <w:rPr>
          <w:rFonts w:ascii="Constantia" w:hAnsi="Constantia"/>
          <w:sz w:val="24"/>
          <w:szCs w:val="24"/>
        </w:rPr>
        <w:t xml:space="preserve">gency </w:t>
      </w:r>
      <w:r w:rsidR="0001216C" w:rsidRPr="00F01B70">
        <w:rPr>
          <w:rFonts w:ascii="Constantia" w:hAnsi="Constantia"/>
          <w:sz w:val="24"/>
          <w:szCs w:val="24"/>
        </w:rPr>
        <w:t xml:space="preserve">and sponsoring organizations </w:t>
      </w:r>
      <w:r w:rsidR="00417219">
        <w:rPr>
          <w:rFonts w:ascii="Constantia" w:hAnsi="Constantia"/>
          <w:sz w:val="24"/>
          <w:szCs w:val="24"/>
        </w:rPr>
        <w:t xml:space="preserve">as </w:t>
      </w:r>
      <w:r w:rsidR="00E80398" w:rsidRPr="00F01B70">
        <w:rPr>
          <w:rFonts w:ascii="Constantia" w:hAnsi="Constantia"/>
          <w:sz w:val="24"/>
          <w:szCs w:val="24"/>
        </w:rPr>
        <w:t>required partner</w:t>
      </w:r>
      <w:r w:rsidR="0001216C" w:rsidRPr="00F01B70">
        <w:rPr>
          <w:rFonts w:ascii="Constantia" w:hAnsi="Constantia"/>
          <w:sz w:val="24"/>
          <w:szCs w:val="24"/>
        </w:rPr>
        <w:t>s</w:t>
      </w:r>
      <w:r w:rsidR="00E80398" w:rsidRPr="00F01B70">
        <w:rPr>
          <w:rFonts w:ascii="Constantia" w:hAnsi="Constantia"/>
          <w:sz w:val="24"/>
          <w:szCs w:val="24"/>
        </w:rPr>
        <w:t xml:space="preserve"> </w:t>
      </w:r>
      <w:r w:rsidR="0001216C" w:rsidRPr="00F01B70">
        <w:rPr>
          <w:rFonts w:ascii="Constantia" w:hAnsi="Constantia"/>
          <w:sz w:val="24"/>
          <w:szCs w:val="24"/>
        </w:rPr>
        <w:t>in the CCDF planning process</w:t>
      </w:r>
      <w:r w:rsidR="00417219">
        <w:rPr>
          <w:rFonts w:ascii="Constantia" w:hAnsi="Constantia"/>
          <w:sz w:val="24"/>
          <w:szCs w:val="24"/>
        </w:rPr>
        <w:t>.</w:t>
      </w:r>
      <w:r w:rsidR="00417219" w:rsidRPr="00417219">
        <w:t xml:space="preserve"> </w:t>
      </w:r>
      <w:r w:rsidR="00417219">
        <w:t xml:space="preserve"> (</w:t>
      </w:r>
      <w:r w:rsidR="00417219">
        <w:rPr>
          <w:rFonts w:ascii="Constantia" w:hAnsi="Constantia"/>
          <w:sz w:val="24"/>
          <w:szCs w:val="24"/>
        </w:rPr>
        <w:t>45 CFR 98.14(a)(1))</w:t>
      </w:r>
    </w:p>
    <w:p w:rsidR="00417219" w:rsidRPr="00417219" w:rsidRDefault="00417219" w:rsidP="00417219">
      <w:pPr>
        <w:spacing w:after="0"/>
        <w:ind w:left="360"/>
        <w:rPr>
          <w:rFonts w:ascii="Constantia" w:hAnsi="Constantia"/>
          <w:sz w:val="24"/>
          <w:szCs w:val="24"/>
        </w:rPr>
      </w:pPr>
    </w:p>
    <w:p w:rsidR="00427E50" w:rsidRDefault="000B468F" w:rsidP="00F01B70">
      <w:pPr>
        <w:spacing w:after="0"/>
        <w:ind w:left="720"/>
        <w:rPr>
          <w:rFonts w:ascii="Constantia" w:hAnsi="Constantia"/>
          <w:sz w:val="24"/>
          <w:szCs w:val="24"/>
        </w:rPr>
      </w:pPr>
      <w:r>
        <w:rPr>
          <w:rFonts w:ascii="Constantia" w:hAnsi="Constantia"/>
          <w:sz w:val="24"/>
          <w:szCs w:val="24"/>
        </w:rPr>
        <w:t xml:space="preserve">We commend the Departments’ planned </w:t>
      </w:r>
      <w:r w:rsidR="0001216C" w:rsidRPr="0001216C">
        <w:rPr>
          <w:rFonts w:ascii="Constantia" w:hAnsi="Constantia"/>
          <w:sz w:val="24"/>
          <w:szCs w:val="24"/>
        </w:rPr>
        <w:t xml:space="preserve">expansion of </w:t>
      </w:r>
      <w:r>
        <w:rPr>
          <w:rFonts w:ascii="Constantia" w:hAnsi="Constantia"/>
          <w:sz w:val="24"/>
          <w:szCs w:val="24"/>
        </w:rPr>
        <w:t xml:space="preserve">the </w:t>
      </w:r>
      <w:r w:rsidR="0001216C" w:rsidRPr="0001216C">
        <w:rPr>
          <w:rFonts w:ascii="Constantia" w:hAnsi="Constantia"/>
          <w:sz w:val="24"/>
          <w:szCs w:val="24"/>
        </w:rPr>
        <w:t>required types of coordinatio</w:t>
      </w:r>
      <w:r w:rsidR="00255E5C">
        <w:rPr>
          <w:rFonts w:ascii="Constantia" w:hAnsi="Constantia"/>
          <w:sz w:val="24"/>
          <w:szCs w:val="24"/>
        </w:rPr>
        <w:t>n and planning partners for CCDF</w:t>
      </w:r>
      <w:r>
        <w:rPr>
          <w:rFonts w:ascii="Constantia" w:hAnsi="Constantia"/>
          <w:sz w:val="24"/>
          <w:szCs w:val="24"/>
        </w:rPr>
        <w:t>.  CACFP state agencies and sponsoring organizations have already been identified as key partners but should also be specified as requi</w:t>
      </w:r>
      <w:r w:rsidR="00417219">
        <w:rPr>
          <w:rFonts w:ascii="Constantia" w:hAnsi="Constantia"/>
          <w:sz w:val="24"/>
          <w:szCs w:val="24"/>
        </w:rPr>
        <w:t>red partners in the regulations</w:t>
      </w:r>
      <w:r>
        <w:rPr>
          <w:rFonts w:ascii="Constantia" w:hAnsi="Constantia"/>
          <w:sz w:val="24"/>
          <w:szCs w:val="24"/>
        </w:rPr>
        <w:t xml:space="preserve"> </w:t>
      </w:r>
      <w:r w:rsidR="00417219" w:rsidRPr="00417219">
        <w:rPr>
          <w:rFonts w:ascii="Constantia" w:hAnsi="Constantia"/>
          <w:sz w:val="24"/>
          <w:szCs w:val="24"/>
        </w:rPr>
        <w:t xml:space="preserve">by adding </w:t>
      </w:r>
      <w:r w:rsidR="00417219">
        <w:rPr>
          <w:rFonts w:ascii="Constantia" w:hAnsi="Constantia"/>
          <w:sz w:val="24"/>
          <w:szCs w:val="24"/>
        </w:rPr>
        <w:t>“</w:t>
      </w:r>
      <w:r w:rsidR="00417219" w:rsidRPr="00417219">
        <w:rPr>
          <w:rFonts w:ascii="Constantia" w:hAnsi="Constantia"/>
          <w:sz w:val="24"/>
          <w:szCs w:val="24"/>
        </w:rPr>
        <w:t>Child and Adult Care Food Program State Agency and Sponsoring Organizations</w:t>
      </w:r>
      <w:r w:rsidR="00417219">
        <w:rPr>
          <w:rFonts w:ascii="Constantia" w:hAnsi="Constantia"/>
          <w:sz w:val="24"/>
          <w:szCs w:val="24"/>
        </w:rPr>
        <w:t>”</w:t>
      </w:r>
      <w:r w:rsidR="00417219" w:rsidRPr="00417219">
        <w:t xml:space="preserve"> </w:t>
      </w:r>
      <w:r w:rsidR="00417219" w:rsidRPr="00417219">
        <w:rPr>
          <w:rFonts w:ascii="Constantia" w:hAnsi="Constantia"/>
          <w:sz w:val="24"/>
          <w:szCs w:val="24"/>
        </w:rPr>
        <w:t>as 45 CFR 98.14(a)(1)(J).</w:t>
      </w:r>
    </w:p>
    <w:p w:rsidR="00CC7580" w:rsidRDefault="00CC7580" w:rsidP="005A3F5B">
      <w:pPr>
        <w:spacing w:after="0"/>
        <w:rPr>
          <w:rFonts w:ascii="Constantia" w:hAnsi="Constantia"/>
          <w:sz w:val="24"/>
          <w:szCs w:val="24"/>
        </w:rPr>
      </w:pPr>
    </w:p>
    <w:p w:rsidR="00F01B70" w:rsidRDefault="00F01B70" w:rsidP="005A3F5B">
      <w:pPr>
        <w:spacing w:after="0"/>
        <w:rPr>
          <w:rFonts w:ascii="Constantia" w:hAnsi="Constantia"/>
          <w:sz w:val="24"/>
          <w:szCs w:val="24"/>
        </w:rPr>
      </w:pPr>
    </w:p>
    <w:p w:rsidR="00612E22" w:rsidRPr="00612E22" w:rsidRDefault="00612E22" w:rsidP="00612E22">
      <w:pPr>
        <w:spacing w:after="0"/>
        <w:rPr>
          <w:rFonts w:ascii="Constantia" w:hAnsi="Constantia"/>
          <w:sz w:val="24"/>
          <w:szCs w:val="24"/>
        </w:rPr>
      </w:pPr>
      <w:r w:rsidRPr="00612E22">
        <w:rPr>
          <w:rFonts w:ascii="Constantia" w:hAnsi="Constantia"/>
          <w:sz w:val="24"/>
          <w:szCs w:val="24"/>
        </w:rPr>
        <w:t>Thank you for this oppor</w:t>
      </w:r>
      <w:r w:rsidR="00F533F2">
        <w:rPr>
          <w:rFonts w:ascii="Constantia" w:hAnsi="Constantia"/>
          <w:sz w:val="24"/>
          <w:szCs w:val="24"/>
        </w:rPr>
        <w:t>tunity to share our support for the Department’s efforts to</w:t>
      </w:r>
      <w:r w:rsidR="00F533F2" w:rsidRPr="00F533F2">
        <w:rPr>
          <w:rFonts w:ascii="Constantia" w:hAnsi="Constantia"/>
          <w:sz w:val="24"/>
          <w:szCs w:val="24"/>
        </w:rPr>
        <w:t xml:space="preserve"> better serve the needs of low-income children and families</w:t>
      </w:r>
      <w:r w:rsidRPr="00612E22">
        <w:rPr>
          <w:rFonts w:ascii="Constantia" w:hAnsi="Constantia"/>
          <w:sz w:val="24"/>
          <w:szCs w:val="24"/>
        </w:rPr>
        <w:t xml:space="preserve">, as well as our recommendations to strengthen the proposed rule. </w:t>
      </w:r>
    </w:p>
    <w:p w:rsidR="000B468F" w:rsidRDefault="000B468F" w:rsidP="00612E22">
      <w:pPr>
        <w:spacing w:after="0"/>
        <w:rPr>
          <w:rFonts w:ascii="Constantia" w:hAnsi="Constantia"/>
          <w:sz w:val="24"/>
          <w:szCs w:val="24"/>
        </w:rPr>
      </w:pPr>
    </w:p>
    <w:p w:rsidR="00F533F2" w:rsidRDefault="00612E22" w:rsidP="00612E22">
      <w:pPr>
        <w:spacing w:after="0"/>
        <w:rPr>
          <w:rFonts w:ascii="Constantia" w:hAnsi="Constantia"/>
          <w:sz w:val="24"/>
          <w:szCs w:val="24"/>
        </w:rPr>
      </w:pPr>
      <w:r w:rsidRPr="00612E22">
        <w:rPr>
          <w:rFonts w:ascii="Constantia" w:hAnsi="Constantia"/>
          <w:sz w:val="24"/>
          <w:szCs w:val="24"/>
        </w:rPr>
        <w:t>Sincerely,</w:t>
      </w:r>
    </w:p>
    <w:p w:rsidR="0084213B" w:rsidRDefault="0084213B" w:rsidP="00612E22">
      <w:pPr>
        <w:spacing w:after="0"/>
        <w:rPr>
          <w:rFonts w:ascii="Constantia" w:hAnsi="Constantia"/>
          <w:sz w:val="24"/>
          <w:szCs w:val="24"/>
        </w:rPr>
      </w:pPr>
      <w:bookmarkStart w:id="0" w:name="_GoBack"/>
      <w:bookmarkEnd w:id="0"/>
    </w:p>
    <w:sectPr w:rsidR="0084213B" w:rsidSect="00CD49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E5" w:rsidRDefault="00297EE5" w:rsidP="00925ACC">
      <w:pPr>
        <w:spacing w:after="0" w:line="240" w:lineRule="auto"/>
      </w:pPr>
      <w:r>
        <w:separator/>
      </w:r>
    </w:p>
  </w:endnote>
  <w:endnote w:type="continuationSeparator" w:id="0">
    <w:p w:rsidR="00297EE5" w:rsidRDefault="00297EE5" w:rsidP="00925ACC">
      <w:pPr>
        <w:spacing w:after="0" w:line="240" w:lineRule="auto"/>
      </w:pPr>
      <w:r>
        <w:continuationSeparator/>
      </w:r>
    </w:p>
  </w:endnote>
  <w:endnote w:id="1">
    <w:p w:rsidR="00164810" w:rsidRPr="006C4892" w:rsidRDefault="00164810" w:rsidP="00164810">
      <w:pPr>
        <w:pStyle w:val="EndnoteText"/>
        <w:overflowPunct w:val="0"/>
        <w:autoSpaceDE w:val="0"/>
        <w:autoSpaceDN w:val="0"/>
        <w:adjustRightInd w:val="0"/>
        <w:ind w:left="360" w:hanging="360"/>
        <w:textAlignment w:val="baseline"/>
        <w:rPr>
          <w:rFonts w:ascii="Constantia" w:hAnsi="Constantia" w:cs="Tahoma"/>
        </w:rPr>
      </w:pPr>
      <w:r w:rsidRPr="006C4892">
        <w:rPr>
          <w:rStyle w:val="EndnoteReference"/>
          <w:rFonts w:ascii="Constantia" w:hAnsi="Constantia" w:cs="Tahoma"/>
        </w:rPr>
        <w:endnoteRef/>
      </w:r>
      <w:r w:rsidRPr="006C4892">
        <w:rPr>
          <w:rFonts w:ascii="Constantia" w:hAnsi="Constantia" w:cs="Tahoma"/>
        </w:rPr>
        <w:t xml:space="preserve">      </w:t>
      </w:r>
      <w:r w:rsidR="003A239C">
        <w:rPr>
          <w:rFonts w:ascii="Constantia" w:hAnsi="Constantia" w:cs="Tahoma"/>
        </w:rPr>
        <w:t xml:space="preserve"> </w:t>
      </w:r>
      <w:proofErr w:type="gramStart"/>
      <w:r w:rsidRPr="006C4892">
        <w:rPr>
          <w:rFonts w:ascii="Constantia" w:hAnsi="Constantia" w:cs="Tahoma"/>
        </w:rPr>
        <w:t>U.S. Department of Agriculture, Food and Nutrition Service.</w:t>
      </w:r>
      <w:proofErr w:type="gramEnd"/>
      <w:r w:rsidRPr="006C4892">
        <w:rPr>
          <w:rFonts w:ascii="Constantia" w:hAnsi="Constantia" w:cs="Tahoma"/>
        </w:rPr>
        <w:t xml:space="preserve"> (2009)</w:t>
      </w:r>
      <w:proofErr w:type="gramStart"/>
      <w:r w:rsidRPr="006C4892">
        <w:rPr>
          <w:rFonts w:ascii="Constantia" w:hAnsi="Constantia" w:cs="Tahoma"/>
        </w:rPr>
        <w:t xml:space="preserve">. </w:t>
      </w:r>
      <w:r w:rsidRPr="006C4892">
        <w:rPr>
          <w:rFonts w:ascii="Constantia" w:hAnsi="Constantia" w:cs="Tahoma"/>
          <w:i/>
        </w:rPr>
        <w:t>Child and Adult Care Food Program</w:t>
      </w:r>
      <w:r w:rsidRPr="006C4892">
        <w:rPr>
          <w:rFonts w:ascii="Constantia" w:hAnsi="Constantia" w:cs="Tahoma"/>
        </w:rPr>
        <w:t>.</w:t>
      </w:r>
      <w:proofErr w:type="gramEnd"/>
      <w:r w:rsidRPr="006C4892">
        <w:rPr>
          <w:rFonts w:ascii="Constantia" w:hAnsi="Constantia" w:cs="Tahoma"/>
        </w:rPr>
        <w:t xml:space="preserve"> </w:t>
      </w:r>
    </w:p>
  </w:endnote>
  <w:endnote w:id="2">
    <w:p w:rsidR="00164810" w:rsidRPr="006C4892" w:rsidRDefault="00164810" w:rsidP="00164810">
      <w:pPr>
        <w:pStyle w:val="EndnoteText"/>
        <w:overflowPunct w:val="0"/>
        <w:autoSpaceDE w:val="0"/>
        <w:autoSpaceDN w:val="0"/>
        <w:adjustRightInd w:val="0"/>
        <w:ind w:left="360" w:hanging="360"/>
        <w:textAlignment w:val="baseline"/>
        <w:rPr>
          <w:rFonts w:ascii="Constantia" w:hAnsi="Constantia" w:cs="Tahoma"/>
        </w:rPr>
      </w:pPr>
      <w:r w:rsidRPr="006C4892">
        <w:rPr>
          <w:rStyle w:val="EndnoteReference"/>
          <w:rFonts w:ascii="Constantia" w:hAnsi="Constantia" w:cs="Tahoma"/>
        </w:rPr>
        <w:endnoteRef/>
      </w:r>
      <w:r w:rsidRPr="006C4892">
        <w:rPr>
          <w:rFonts w:ascii="Constantia" w:hAnsi="Constantia" w:cs="Tahoma"/>
        </w:rPr>
        <w:t xml:space="preserve">     </w:t>
      </w:r>
      <w:r w:rsidR="003A239C">
        <w:rPr>
          <w:rFonts w:ascii="Constantia" w:hAnsi="Constantia" w:cs="Tahoma"/>
        </w:rPr>
        <w:t xml:space="preserve"> </w:t>
      </w:r>
      <w:r w:rsidRPr="006C4892">
        <w:rPr>
          <w:rFonts w:ascii="Constantia" w:hAnsi="Constantia" w:cs="Tahoma"/>
        </w:rPr>
        <w:t>U.S. General Accounting Office, Health, Education and Human Services Division.</w:t>
      </w:r>
      <w:r w:rsidRPr="006C4892">
        <w:rPr>
          <w:rFonts w:ascii="Constantia" w:hAnsi="Constantia" w:cs="Tahoma"/>
          <w:i/>
        </w:rPr>
        <w:t xml:space="preserve"> </w:t>
      </w:r>
      <w:r w:rsidRPr="006C4892">
        <w:rPr>
          <w:rFonts w:ascii="Constantia" w:hAnsi="Constantia" w:cs="Tahoma"/>
        </w:rPr>
        <w:t xml:space="preserve">(1994). </w:t>
      </w:r>
      <w:proofErr w:type="gramStart"/>
      <w:r w:rsidRPr="006C4892">
        <w:rPr>
          <w:rFonts w:ascii="Constantia" w:hAnsi="Constantia" w:cs="Tahoma"/>
          <w:i/>
        </w:rPr>
        <w:t>Child care</w:t>
      </w:r>
      <w:proofErr w:type="gramEnd"/>
      <w:r w:rsidRPr="006C4892">
        <w:rPr>
          <w:rFonts w:ascii="Constantia" w:hAnsi="Constantia" w:cs="Tahoma"/>
          <w:i/>
        </w:rPr>
        <w:t xml:space="preserve">: Promoting quality in family child care </w:t>
      </w:r>
      <w:r w:rsidRPr="006C4892">
        <w:rPr>
          <w:rFonts w:ascii="Constantia" w:hAnsi="Constantia" w:cs="Tahoma"/>
        </w:rPr>
        <w:t xml:space="preserve">(B-257209, GAO/HEHS-95-36). Washington, DC: General Accounting Office. </w:t>
      </w:r>
    </w:p>
  </w:endnote>
  <w:endnote w:id="3">
    <w:p w:rsidR="00164810" w:rsidRPr="006C4892" w:rsidRDefault="00164810" w:rsidP="00164810">
      <w:pPr>
        <w:pStyle w:val="EndnoteText"/>
        <w:overflowPunct w:val="0"/>
        <w:autoSpaceDE w:val="0"/>
        <w:autoSpaceDN w:val="0"/>
        <w:adjustRightInd w:val="0"/>
        <w:ind w:left="360" w:hanging="360"/>
        <w:textAlignment w:val="baseline"/>
        <w:rPr>
          <w:rFonts w:ascii="Constantia" w:hAnsi="Constantia" w:cs="Tahoma"/>
        </w:rPr>
      </w:pPr>
      <w:r w:rsidRPr="006C4892">
        <w:rPr>
          <w:rStyle w:val="EndnoteReference"/>
          <w:rFonts w:ascii="Constantia" w:hAnsi="Constantia" w:cs="Tahoma"/>
        </w:rPr>
        <w:endnoteRef/>
      </w:r>
      <w:r w:rsidRPr="006C4892">
        <w:rPr>
          <w:rFonts w:ascii="Constantia" w:hAnsi="Constantia" w:cs="Tahoma"/>
        </w:rPr>
        <w:t xml:space="preserve">   </w:t>
      </w:r>
      <w:r w:rsidR="003A239C">
        <w:rPr>
          <w:rFonts w:ascii="Constantia" w:hAnsi="Constantia" w:cs="Tahoma"/>
        </w:rPr>
        <w:t xml:space="preserve">  </w:t>
      </w:r>
      <w:r w:rsidRPr="006C4892">
        <w:rPr>
          <w:rFonts w:ascii="Constantia" w:hAnsi="Constantia" w:cs="Tahoma"/>
        </w:rPr>
        <w:t xml:space="preserve"> Edwards, C., </w:t>
      </w:r>
      <w:proofErr w:type="spellStart"/>
      <w:r w:rsidRPr="006C4892">
        <w:rPr>
          <w:rFonts w:ascii="Constantia" w:hAnsi="Constantia" w:cs="Tahoma"/>
        </w:rPr>
        <w:t>Knoche</w:t>
      </w:r>
      <w:proofErr w:type="spellEnd"/>
      <w:r w:rsidRPr="006C4892">
        <w:rPr>
          <w:rFonts w:ascii="Constantia" w:hAnsi="Constantia" w:cs="Tahoma"/>
        </w:rPr>
        <w:t xml:space="preserve">, L., Raikes, A., Raikes, H., </w:t>
      </w:r>
      <w:proofErr w:type="spellStart"/>
      <w:r w:rsidRPr="006C4892">
        <w:rPr>
          <w:rFonts w:ascii="Constantia" w:hAnsi="Constantia" w:cs="Tahoma"/>
        </w:rPr>
        <w:t>Torquati</w:t>
      </w:r>
      <w:proofErr w:type="spellEnd"/>
      <w:r w:rsidRPr="006C4892">
        <w:rPr>
          <w:rFonts w:ascii="Constantia" w:hAnsi="Constantia" w:cs="Tahoma"/>
        </w:rPr>
        <w:t xml:space="preserve">, J., Wilcox, B., &amp; Christensen, L. (2002). </w:t>
      </w:r>
      <w:proofErr w:type="gramStart"/>
      <w:r w:rsidRPr="006C4892">
        <w:rPr>
          <w:rFonts w:ascii="Constantia" w:hAnsi="Constantia" w:cs="Tahoma"/>
          <w:i/>
        </w:rPr>
        <w:t>Child care</w:t>
      </w:r>
      <w:proofErr w:type="gramEnd"/>
      <w:r w:rsidRPr="006C4892">
        <w:rPr>
          <w:rFonts w:ascii="Constantia" w:hAnsi="Constantia" w:cs="Tahoma"/>
          <w:i/>
        </w:rPr>
        <w:t xml:space="preserve"> characteristics and quality in Nebraska</w:t>
      </w:r>
      <w:r w:rsidRPr="006C4892">
        <w:rPr>
          <w:rFonts w:ascii="Constantia" w:hAnsi="Constantia" w:cs="Tahoma"/>
        </w:rPr>
        <w:t xml:space="preserve">. Prepared for the Midwest Child Care Research Consortium. </w:t>
      </w:r>
    </w:p>
  </w:endnote>
  <w:endnote w:id="4">
    <w:p w:rsidR="00164810" w:rsidRPr="006C4892" w:rsidRDefault="00164810" w:rsidP="00164810">
      <w:pPr>
        <w:pStyle w:val="EndnoteText"/>
        <w:overflowPunct w:val="0"/>
        <w:autoSpaceDE w:val="0"/>
        <w:autoSpaceDN w:val="0"/>
        <w:adjustRightInd w:val="0"/>
        <w:ind w:left="360" w:hanging="360"/>
        <w:textAlignment w:val="baseline"/>
        <w:rPr>
          <w:rFonts w:ascii="Constantia" w:hAnsi="Constantia" w:cs="Tahoma"/>
        </w:rPr>
      </w:pPr>
      <w:r w:rsidRPr="006C4892">
        <w:rPr>
          <w:rStyle w:val="EndnoteReference"/>
          <w:rFonts w:ascii="Constantia" w:hAnsi="Constantia" w:cs="Tahoma"/>
        </w:rPr>
        <w:endnoteRef/>
      </w:r>
      <w:r w:rsidRPr="006C4892">
        <w:rPr>
          <w:rFonts w:ascii="Constantia" w:hAnsi="Constantia" w:cs="Tahoma"/>
        </w:rPr>
        <w:t xml:space="preserve">   </w:t>
      </w:r>
      <w:r w:rsidR="003A239C">
        <w:rPr>
          <w:rFonts w:ascii="Constantia" w:hAnsi="Constantia" w:cs="Tahoma"/>
        </w:rPr>
        <w:t xml:space="preserve">   </w:t>
      </w:r>
      <w:proofErr w:type="spellStart"/>
      <w:proofErr w:type="gramStart"/>
      <w:r w:rsidRPr="006C4892">
        <w:rPr>
          <w:rFonts w:ascii="Constantia" w:hAnsi="Constantia" w:cs="Tahoma"/>
        </w:rPr>
        <w:t>Galinsky</w:t>
      </w:r>
      <w:proofErr w:type="spellEnd"/>
      <w:r w:rsidRPr="006C4892">
        <w:rPr>
          <w:rFonts w:ascii="Constantia" w:hAnsi="Constantia" w:cs="Tahoma"/>
        </w:rPr>
        <w:t xml:space="preserve">, E., </w:t>
      </w:r>
      <w:proofErr w:type="spellStart"/>
      <w:r w:rsidRPr="006C4892">
        <w:rPr>
          <w:rFonts w:ascii="Constantia" w:hAnsi="Constantia" w:cs="Tahoma"/>
        </w:rPr>
        <w:t>Howes</w:t>
      </w:r>
      <w:proofErr w:type="spellEnd"/>
      <w:r w:rsidRPr="006C4892">
        <w:rPr>
          <w:rFonts w:ascii="Constantia" w:hAnsi="Constantia" w:cs="Tahoma"/>
        </w:rPr>
        <w:t xml:space="preserve">, C., </w:t>
      </w:r>
      <w:proofErr w:type="spellStart"/>
      <w:r w:rsidRPr="006C4892">
        <w:rPr>
          <w:rFonts w:ascii="Constantia" w:hAnsi="Constantia" w:cs="Tahoma"/>
        </w:rPr>
        <w:t>Kontos</w:t>
      </w:r>
      <w:proofErr w:type="spellEnd"/>
      <w:r w:rsidRPr="006C4892">
        <w:rPr>
          <w:rFonts w:ascii="Constantia" w:hAnsi="Constantia" w:cs="Tahoma"/>
        </w:rPr>
        <w:t>, S., &amp; Shinn, M. (1994).</w:t>
      </w:r>
      <w:proofErr w:type="gramEnd"/>
      <w:r w:rsidRPr="006C4892">
        <w:rPr>
          <w:rFonts w:ascii="Constantia" w:hAnsi="Constantia" w:cs="Tahoma"/>
        </w:rPr>
        <w:t xml:space="preserve"> </w:t>
      </w:r>
      <w:r w:rsidRPr="006C4892">
        <w:rPr>
          <w:rFonts w:ascii="Constantia" w:hAnsi="Constantia" w:cs="Tahoma"/>
          <w:i/>
        </w:rPr>
        <w:t xml:space="preserve">The study of children in family </w:t>
      </w:r>
      <w:proofErr w:type="gramStart"/>
      <w:r w:rsidRPr="006C4892">
        <w:rPr>
          <w:rFonts w:ascii="Constantia" w:hAnsi="Constantia" w:cs="Tahoma"/>
          <w:i/>
        </w:rPr>
        <w:t>child care</w:t>
      </w:r>
      <w:proofErr w:type="gramEnd"/>
      <w:r w:rsidRPr="006C4892">
        <w:rPr>
          <w:rFonts w:ascii="Constantia" w:hAnsi="Constantia" w:cs="Tahoma"/>
          <w:i/>
        </w:rPr>
        <w:t xml:space="preserve"> and relative care</w:t>
      </w:r>
      <w:r w:rsidRPr="006C4892">
        <w:rPr>
          <w:rFonts w:ascii="Constantia" w:hAnsi="Constantia" w:cs="Tahoma"/>
        </w:rPr>
        <w:t>. New York City, NY: Family and Work Institute.</w:t>
      </w:r>
    </w:p>
  </w:endnote>
  <w:endnote w:id="5">
    <w:p w:rsidR="00D61720" w:rsidRPr="006C4892" w:rsidRDefault="006C4892" w:rsidP="003A239C">
      <w:pPr>
        <w:pStyle w:val="EndnoteText"/>
        <w:ind w:left="360"/>
        <w:rPr>
          <w:rFonts w:ascii="Constantia" w:hAnsi="Constantia"/>
        </w:rPr>
      </w:pPr>
      <w:proofErr w:type="gramStart"/>
      <w:r w:rsidRPr="006C4892">
        <w:rPr>
          <w:rFonts w:ascii="Constantia" w:hAnsi="Constantia"/>
        </w:rPr>
        <w:t xml:space="preserve">Ritchie, L. D., Boyle, M., </w:t>
      </w:r>
      <w:proofErr w:type="spellStart"/>
      <w:r w:rsidRPr="006C4892">
        <w:rPr>
          <w:rFonts w:ascii="Constantia" w:hAnsi="Constantia"/>
        </w:rPr>
        <w:t>Chandran</w:t>
      </w:r>
      <w:proofErr w:type="spellEnd"/>
      <w:r w:rsidRPr="006C4892">
        <w:rPr>
          <w:rFonts w:ascii="Constantia" w:hAnsi="Constantia"/>
        </w:rPr>
        <w:t>, K., Spector, P.</w:t>
      </w:r>
      <w:r>
        <w:rPr>
          <w:rFonts w:ascii="Constantia" w:hAnsi="Constantia"/>
        </w:rPr>
        <w:t xml:space="preserve">, Whaley, S. E., James, P., </w:t>
      </w:r>
      <w:r w:rsidRPr="006C4892">
        <w:rPr>
          <w:rFonts w:ascii="Constantia" w:hAnsi="Constantia"/>
        </w:rPr>
        <w:t>&amp; Crawford, P. (2012).</w:t>
      </w:r>
      <w:proofErr w:type="gramEnd"/>
      <w:r w:rsidRPr="006C4892">
        <w:rPr>
          <w:rFonts w:ascii="Constantia" w:hAnsi="Constantia"/>
        </w:rPr>
        <w:t xml:space="preserve"> </w:t>
      </w:r>
      <w:r>
        <w:rPr>
          <w:rFonts w:ascii="Constantia" w:hAnsi="Constantia"/>
        </w:rPr>
        <w:t xml:space="preserve"> </w:t>
      </w:r>
      <w:r w:rsidR="003A239C">
        <w:rPr>
          <w:rFonts w:ascii="Constantia" w:hAnsi="Constantia"/>
        </w:rPr>
        <w:t xml:space="preserve"> </w:t>
      </w:r>
      <w:r w:rsidRPr="003A239C">
        <w:rPr>
          <w:rFonts w:ascii="Constantia" w:hAnsi="Constantia"/>
          <w:i/>
        </w:rPr>
        <w:t xml:space="preserve">Participation in the Child and Adult Care Food Program is associated with more nutritious foods and beverages in </w:t>
      </w:r>
      <w:proofErr w:type="gramStart"/>
      <w:r w:rsidRPr="003A239C">
        <w:rPr>
          <w:rFonts w:ascii="Constantia" w:hAnsi="Constantia"/>
          <w:i/>
        </w:rPr>
        <w:t>child care</w:t>
      </w:r>
      <w:proofErr w:type="gramEnd"/>
      <w:r w:rsidRPr="003A239C">
        <w:rPr>
          <w:rFonts w:ascii="Constantia" w:hAnsi="Constantia"/>
          <w:i/>
        </w:rPr>
        <w:t xml:space="preserve">. </w:t>
      </w:r>
      <w:proofErr w:type="gramStart"/>
      <w:r w:rsidRPr="003A239C">
        <w:rPr>
          <w:rFonts w:ascii="Constantia" w:hAnsi="Constantia"/>
          <w:i/>
        </w:rPr>
        <w:t>Childhood Obesity</w:t>
      </w:r>
      <w:r w:rsidRPr="006C4892">
        <w:rPr>
          <w:rFonts w:ascii="Constantia" w:hAnsi="Constantia"/>
        </w:rPr>
        <w:t>, 8(3), 224-229.</w:t>
      </w:r>
      <w:proofErr w:type="gramEnd"/>
    </w:p>
  </w:endnote>
  <w:endnote w:id="6">
    <w:p w:rsidR="006C4892" w:rsidRPr="006C4892" w:rsidRDefault="006C4892" w:rsidP="003A239C">
      <w:pPr>
        <w:pStyle w:val="EndnoteText"/>
        <w:ind w:left="330"/>
        <w:rPr>
          <w:rFonts w:ascii="Constantia" w:hAnsi="Constantia"/>
        </w:rPr>
      </w:pPr>
      <w:r w:rsidRPr="006C4892">
        <w:rPr>
          <w:rFonts w:ascii="Constantia" w:hAnsi="Constantia"/>
        </w:rPr>
        <w:t xml:space="preserve">Story, M., </w:t>
      </w:r>
      <w:proofErr w:type="spellStart"/>
      <w:r w:rsidRPr="006C4892">
        <w:rPr>
          <w:rFonts w:ascii="Constantia" w:hAnsi="Constantia"/>
        </w:rPr>
        <w:t>Kaphingst</w:t>
      </w:r>
      <w:proofErr w:type="spellEnd"/>
      <w:r w:rsidRPr="006C4892">
        <w:rPr>
          <w:rFonts w:ascii="Constantia" w:hAnsi="Constantia"/>
        </w:rPr>
        <w:t xml:space="preserve">, K. M., &amp; French, S. (2006). </w:t>
      </w:r>
      <w:r w:rsidRPr="003A239C">
        <w:rPr>
          <w:rFonts w:ascii="Constantia" w:hAnsi="Constantia"/>
          <w:i/>
        </w:rPr>
        <w:t xml:space="preserve">The role of </w:t>
      </w:r>
      <w:proofErr w:type="gramStart"/>
      <w:r w:rsidRPr="003A239C">
        <w:rPr>
          <w:rFonts w:ascii="Constantia" w:hAnsi="Constantia"/>
          <w:i/>
        </w:rPr>
        <w:t>child care</w:t>
      </w:r>
      <w:proofErr w:type="gramEnd"/>
      <w:r w:rsidRPr="003A239C">
        <w:rPr>
          <w:rFonts w:ascii="Constantia" w:hAnsi="Constantia"/>
          <w:i/>
        </w:rPr>
        <w:t xml:space="preserve"> settings in obesity prevention.</w:t>
      </w:r>
      <w:r w:rsidRPr="006C4892">
        <w:rPr>
          <w:rFonts w:ascii="Constantia" w:hAnsi="Constantia"/>
        </w:rPr>
        <w:t xml:space="preserve"> </w:t>
      </w:r>
      <w:proofErr w:type="gramStart"/>
      <w:r w:rsidRPr="006C4892">
        <w:rPr>
          <w:rFonts w:ascii="Constantia" w:hAnsi="Constantia"/>
        </w:rPr>
        <w:t>The Future of Children, 16 (1), 143-168.</w:t>
      </w:r>
      <w:proofErr w:type="gramEnd"/>
    </w:p>
    <w:p w:rsidR="006C4892" w:rsidRDefault="006C489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tantia">
    <w:panose1 w:val="02030602050306030303"/>
    <w:charset w:val="00"/>
    <w:family w:val="auto"/>
    <w:pitch w:val="variable"/>
    <w:sig w:usb0="A00002EF" w:usb1="4000204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1287"/>
      <w:docPartObj>
        <w:docPartGallery w:val="Page Numbers (Bottom of Page)"/>
        <w:docPartUnique/>
      </w:docPartObj>
    </w:sdtPr>
    <w:sdtEndPr>
      <w:rPr>
        <w:noProof/>
      </w:rPr>
    </w:sdtEndPr>
    <w:sdtContent>
      <w:p w:rsidR="000B468F" w:rsidRDefault="000B468F">
        <w:pPr>
          <w:pStyle w:val="Footer"/>
          <w:jc w:val="right"/>
        </w:pPr>
        <w:r>
          <w:fldChar w:fldCharType="begin"/>
        </w:r>
        <w:r>
          <w:instrText xml:space="preserve"> PAGE   \* MERGEFORMAT </w:instrText>
        </w:r>
        <w:r>
          <w:fldChar w:fldCharType="separate"/>
        </w:r>
        <w:r w:rsidR="0084213B">
          <w:rPr>
            <w:noProof/>
          </w:rPr>
          <w:t>1</w:t>
        </w:r>
        <w:r>
          <w:rPr>
            <w:noProof/>
          </w:rPr>
          <w:fldChar w:fldCharType="end"/>
        </w:r>
      </w:p>
    </w:sdtContent>
  </w:sdt>
  <w:p w:rsidR="00925ACC" w:rsidRDefault="00925A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E5" w:rsidRDefault="00297EE5" w:rsidP="00925ACC">
      <w:pPr>
        <w:spacing w:after="0" w:line="240" w:lineRule="auto"/>
      </w:pPr>
      <w:r>
        <w:separator/>
      </w:r>
    </w:p>
  </w:footnote>
  <w:footnote w:type="continuationSeparator" w:id="0">
    <w:p w:rsidR="00297EE5" w:rsidRDefault="00297EE5" w:rsidP="00925AC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037"/>
    <w:multiLevelType w:val="hybridMultilevel"/>
    <w:tmpl w:val="5F4A2724"/>
    <w:lvl w:ilvl="0" w:tplc="4B9C2802">
      <w:start w:val="10"/>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33E55"/>
    <w:multiLevelType w:val="hybridMultilevel"/>
    <w:tmpl w:val="862238DA"/>
    <w:lvl w:ilvl="0" w:tplc="0C06B6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027FD"/>
    <w:multiLevelType w:val="hybridMultilevel"/>
    <w:tmpl w:val="BD16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91CAC"/>
    <w:multiLevelType w:val="hybridMultilevel"/>
    <w:tmpl w:val="77D24C76"/>
    <w:lvl w:ilvl="0" w:tplc="FFAAA3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80CFE"/>
    <w:multiLevelType w:val="hybridMultilevel"/>
    <w:tmpl w:val="4AFE6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DC7B75"/>
    <w:multiLevelType w:val="hybridMultilevel"/>
    <w:tmpl w:val="EAC89144"/>
    <w:lvl w:ilvl="0" w:tplc="613EDBC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350A4E"/>
    <w:multiLevelType w:val="hybridMultilevel"/>
    <w:tmpl w:val="F09AC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C0440"/>
    <w:multiLevelType w:val="hybridMultilevel"/>
    <w:tmpl w:val="DF2E60F8"/>
    <w:lvl w:ilvl="0" w:tplc="EE168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D4"/>
    <w:rsid w:val="0001216C"/>
    <w:rsid w:val="000261C3"/>
    <w:rsid w:val="00027441"/>
    <w:rsid w:val="00050ECF"/>
    <w:rsid w:val="000647AE"/>
    <w:rsid w:val="00067729"/>
    <w:rsid w:val="00075EBA"/>
    <w:rsid w:val="00076328"/>
    <w:rsid w:val="00085CCD"/>
    <w:rsid w:val="000872CE"/>
    <w:rsid w:val="000A0EBD"/>
    <w:rsid w:val="000A1720"/>
    <w:rsid w:val="000B468F"/>
    <w:rsid w:val="000E3DCB"/>
    <w:rsid w:val="000F75C9"/>
    <w:rsid w:val="00103200"/>
    <w:rsid w:val="0015246C"/>
    <w:rsid w:val="00163BB2"/>
    <w:rsid w:val="00164810"/>
    <w:rsid w:val="00180B3C"/>
    <w:rsid w:val="00183E16"/>
    <w:rsid w:val="0019129C"/>
    <w:rsid w:val="001A4972"/>
    <w:rsid w:val="001E2064"/>
    <w:rsid w:val="001E2FD7"/>
    <w:rsid w:val="001F4AE0"/>
    <w:rsid w:val="00213611"/>
    <w:rsid w:val="00255E5C"/>
    <w:rsid w:val="00277743"/>
    <w:rsid w:val="0028281D"/>
    <w:rsid w:val="00290C10"/>
    <w:rsid w:val="00293717"/>
    <w:rsid w:val="00297EE5"/>
    <w:rsid w:val="002A1BE4"/>
    <w:rsid w:val="002B1E6E"/>
    <w:rsid w:val="002D67DA"/>
    <w:rsid w:val="002E47A6"/>
    <w:rsid w:val="002E4D65"/>
    <w:rsid w:val="002F12B7"/>
    <w:rsid w:val="002F27A9"/>
    <w:rsid w:val="0032254D"/>
    <w:rsid w:val="00336E8C"/>
    <w:rsid w:val="00341903"/>
    <w:rsid w:val="00360EB3"/>
    <w:rsid w:val="0036171D"/>
    <w:rsid w:val="00362432"/>
    <w:rsid w:val="003628B6"/>
    <w:rsid w:val="00386009"/>
    <w:rsid w:val="003A239C"/>
    <w:rsid w:val="003A314A"/>
    <w:rsid w:val="003A76C0"/>
    <w:rsid w:val="003C4B70"/>
    <w:rsid w:val="003C7E80"/>
    <w:rsid w:val="003F7958"/>
    <w:rsid w:val="00412D9D"/>
    <w:rsid w:val="00414005"/>
    <w:rsid w:val="00417219"/>
    <w:rsid w:val="00423F12"/>
    <w:rsid w:val="00427E50"/>
    <w:rsid w:val="00462DFF"/>
    <w:rsid w:val="00472D68"/>
    <w:rsid w:val="004836CF"/>
    <w:rsid w:val="004969FF"/>
    <w:rsid w:val="004A1F5F"/>
    <w:rsid w:val="004A2F2B"/>
    <w:rsid w:val="004B04B6"/>
    <w:rsid w:val="004D1E4B"/>
    <w:rsid w:val="004E6D12"/>
    <w:rsid w:val="004E707F"/>
    <w:rsid w:val="0050159E"/>
    <w:rsid w:val="00501AB6"/>
    <w:rsid w:val="00511A16"/>
    <w:rsid w:val="00541733"/>
    <w:rsid w:val="00571AAE"/>
    <w:rsid w:val="00585A20"/>
    <w:rsid w:val="005A0D1D"/>
    <w:rsid w:val="005A3F5B"/>
    <w:rsid w:val="005B190E"/>
    <w:rsid w:val="005D19F2"/>
    <w:rsid w:val="005E247E"/>
    <w:rsid w:val="005E7CDA"/>
    <w:rsid w:val="00612E22"/>
    <w:rsid w:val="00614962"/>
    <w:rsid w:val="0062351F"/>
    <w:rsid w:val="0063151B"/>
    <w:rsid w:val="00636743"/>
    <w:rsid w:val="006400D6"/>
    <w:rsid w:val="00666A79"/>
    <w:rsid w:val="00676B43"/>
    <w:rsid w:val="006857EB"/>
    <w:rsid w:val="00693F57"/>
    <w:rsid w:val="006C4892"/>
    <w:rsid w:val="006E1965"/>
    <w:rsid w:val="006E79C0"/>
    <w:rsid w:val="006F1DCC"/>
    <w:rsid w:val="007014A7"/>
    <w:rsid w:val="00726406"/>
    <w:rsid w:val="00727E5B"/>
    <w:rsid w:val="007460F5"/>
    <w:rsid w:val="007621FD"/>
    <w:rsid w:val="00791D23"/>
    <w:rsid w:val="007C7D73"/>
    <w:rsid w:val="007F4C5E"/>
    <w:rsid w:val="0084213B"/>
    <w:rsid w:val="00842A42"/>
    <w:rsid w:val="00870F5D"/>
    <w:rsid w:val="0088723F"/>
    <w:rsid w:val="0089699C"/>
    <w:rsid w:val="008B2E0B"/>
    <w:rsid w:val="008B5BC2"/>
    <w:rsid w:val="00903710"/>
    <w:rsid w:val="00916D58"/>
    <w:rsid w:val="00921E0C"/>
    <w:rsid w:val="00925ACC"/>
    <w:rsid w:val="00932563"/>
    <w:rsid w:val="009A43ED"/>
    <w:rsid w:val="009F1E62"/>
    <w:rsid w:val="00A11F90"/>
    <w:rsid w:val="00A23994"/>
    <w:rsid w:val="00A30004"/>
    <w:rsid w:val="00A42F99"/>
    <w:rsid w:val="00AA597B"/>
    <w:rsid w:val="00B33303"/>
    <w:rsid w:val="00B3422F"/>
    <w:rsid w:val="00B34853"/>
    <w:rsid w:val="00B350FB"/>
    <w:rsid w:val="00B404A7"/>
    <w:rsid w:val="00B4305D"/>
    <w:rsid w:val="00B5129D"/>
    <w:rsid w:val="00BB3F2B"/>
    <w:rsid w:val="00BC2539"/>
    <w:rsid w:val="00BD23F6"/>
    <w:rsid w:val="00BE6E40"/>
    <w:rsid w:val="00C31661"/>
    <w:rsid w:val="00C60042"/>
    <w:rsid w:val="00C857DE"/>
    <w:rsid w:val="00C92B66"/>
    <w:rsid w:val="00CA70E5"/>
    <w:rsid w:val="00CB23B3"/>
    <w:rsid w:val="00CC7580"/>
    <w:rsid w:val="00CD281C"/>
    <w:rsid w:val="00CD49D9"/>
    <w:rsid w:val="00D23877"/>
    <w:rsid w:val="00D258C3"/>
    <w:rsid w:val="00D43D98"/>
    <w:rsid w:val="00D50116"/>
    <w:rsid w:val="00D54D5C"/>
    <w:rsid w:val="00D61720"/>
    <w:rsid w:val="00D72167"/>
    <w:rsid w:val="00D73E70"/>
    <w:rsid w:val="00D74A69"/>
    <w:rsid w:val="00D804D3"/>
    <w:rsid w:val="00D81B5B"/>
    <w:rsid w:val="00D909AF"/>
    <w:rsid w:val="00DC3D2C"/>
    <w:rsid w:val="00DD6F72"/>
    <w:rsid w:val="00E03BA8"/>
    <w:rsid w:val="00E4567E"/>
    <w:rsid w:val="00E80398"/>
    <w:rsid w:val="00E838E9"/>
    <w:rsid w:val="00EB60D4"/>
    <w:rsid w:val="00F00E4A"/>
    <w:rsid w:val="00F01B70"/>
    <w:rsid w:val="00F0686E"/>
    <w:rsid w:val="00F52F7F"/>
    <w:rsid w:val="00F533F2"/>
    <w:rsid w:val="00F5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23F"/>
    <w:pPr>
      <w:spacing w:after="0" w:line="240" w:lineRule="auto"/>
    </w:pPr>
  </w:style>
  <w:style w:type="character" w:styleId="Hyperlink">
    <w:name w:val="Hyperlink"/>
    <w:basedOn w:val="DefaultParagraphFont"/>
    <w:uiPriority w:val="99"/>
    <w:unhideWhenUsed/>
    <w:rsid w:val="00050ECF"/>
    <w:rPr>
      <w:color w:val="0000FF" w:themeColor="hyperlink"/>
      <w:u w:val="single"/>
    </w:rPr>
  </w:style>
  <w:style w:type="paragraph" w:styleId="Header">
    <w:name w:val="header"/>
    <w:basedOn w:val="Normal"/>
    <w:link w:val="HeaderChar"/>
    <w:uiPriority w:val="99"/>
    <w:unhideWhenUsed/>
    <w:rsid w:val="0092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CC"/>
  </w:style>
  <w:style w:type="paragraph" w:styleId="Footer">
    <w:name w:val="footer"/>
    <w:basedOn w:val="Normal"/>
    <w:link w:val="FooterChar"/>
    <w:uiPriority w:val="99"/>
    <w:unhideWhenUsed/>
    <w:rsid w:val="0092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CC"/>
  </w:style>
  <w:style w:type="paragraph" w:styleId="ListParagraph">
    <w:name w:val="List Paragraph"/>
    <w:basedOn w:val="Normal"/>
    <w:uiPriority w:val="34"/>
    <w:qFormat/>
    <w:rsid w:val="00CD281C"/>
    <w:pPr>
      <w:ind w:left="720"/>
      <w:contextualSpacing/>
    </w:pPr>
  </w:style>
  <w:style w:type="character" w:styleId="CommentReference">
    <w:name w:val="annotation reference"/>
    <w:basedOn w:val="DefaultParagraphFont"/>
    <w:uiPriority w:val="99"/>
    <w:semiHidden/>
    <w:unhideWhenUsed/>
    <w:rsid w:val="00CD281C"/>
    <w:rPr>
      <w:sz w:val="16"/>
      <w:szCs w:val="16"/>
    </w:rPr>
  </w:style>
  <w:style w:type="paragraph" w:styleId="CommentText">
    <w:name w:val="annotation text"/>
    <w:basedOn w:val="Normal"/>
    <w:link w:val="CommentTextChar"/>
    <w:uiPriority w:val="99"/>
    <w:semiHidden/>
    <w:unhideWhenUsed/>
    <w:rsid w:val="00CD281C"/>
    <w:pPr>
      <w:spacing w:line="240" w:lineRule="auto"/>
    </w:pPr>
    <w:rPr>
      <w:sz w:val="20"/>
      <w:szCs w:val="20"/>
    </w:rPr>
  </w:style>
  <w:style w:type="character" w:customStyle="1" w:styleId="CommentTextChar">
    <w:name w:val="Comment Text Char"/>
    <w:basedOn w:val="DefaultParagraphFont"/>
    <w:link w:val="CommentText"/>
    <w:uiPriority w:val="99"/>
    <w:semiHidden/>
    <w:rsid w:val="00CD281C"/>
    <w:rPr>
      <w:sz w:val="20"/>
      <w:szCs w:val="20"/>
    </w:rPr>
  </w:style>
  <w:style w:type="paragraph" w:styleId="BalloonText">
    <w:name w:val="Balloon Text"/>
    <w:basedOn w:val="Normal"/>
    <w:link w:val="BalloonTextChar"/>
    <w:uiPriority w:val="99"/>
    <w:semiHidden/>
    <w:unhideWhenUsed/>
    <w:rsid w:val="00CD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81C"/>
    <w:rPr>
      <w:rFonts w:ascii="Tahoma" w:hAnsi="Tahoma" w:cs="Tahoma"/>
      <w:sz w:val="16"/>
      <w:szCs w:val="16"/>
    </w:rPr>
  </w:style>
  <w:style w:type="paragraph" w:styleId="EndnoteText">
    <w:name w:val="endnote text"/>
    <w:basedOn w:val="Normal"/>
    <w:link w:val="EndnoteTextChar"/>
    <w:unhideWhenUsed/>
    <w:rsid w:val="00164810"/>
    <w:pPr>
      <w:spacing w:after="0" w:line="240" w:lineRule="auto"/>
    </w:pPr>
    <w:rPr>
      <w:rFonts w:cs="Times New Roman"/>
      <w:sz w:val="20"/>
      <w:szCs w:val="20"/>
      <w:lang w:bidi="en-US"/>
    </w:rPr>
  </w:style>
  <w:style w:type="character" w:customStyle="1" w:styleId="EndnoteTextChar">
    <w:name w:val="Endnote Text Char"/>
    <w:basedOn w:val="DefaultParagraphFont"/>
    <w:link w:val="EndnoteText"/>
    <w:rsid w:val="00164810"/>
    <w:rPr>
      <w:rFonts w:cs="Times New Roman"/>
      <w:sz w:val="20"/>
      <w:szCs w:val="20"/>
      <w:lang w:bidi="en-US"/>
    </w:rPr>
  </w:style>
  <w:style w:type="character" w:styleId="EndnoteReference">
    <w:name w:val="endnote reference"/>
    <w:basedOn w:val="DefaultParagraphFont"/>
    <w:uiPriority w:val="99"/>
    <w:semiHidden/>
    <w:unhideWhenUsed/>
    <w:rsid w:val="00164810"/>
    <w:rPr>
      <w:vertAlign w:val="superscript"/>
    </w:rPr>
  </w:style>
  <w:style w:type="paragraph" w:styleId="FootnoteText">
    <w:name w:val="footnote text"/>
    <w:basedOn w:val="Normal"/>
    <w:link w:val="FootnoteTextChar"/>
    <w:uiPriority w:val="99"/>
    <w:semiHidden/>
    <w:unhideWhenUsed/>
    <w:rsid w:val="00D61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720"/>
    <w:rPr>
      <w:sz w:val="20"/>
      <w:szCs w:val="20"/>
    </w:rPr>
  </w:style>
  <w:style w:type="character" w:styleId="FootnoteReference">
    <w:name w:val="footnote reference"/>
    <w:basedOn w:val="DefaultParagraphFont"/>
    <w:uiPriority w:val="99"/>
    <w:semiHidden/>
    <w:unhideWhenUsed/>
    <w:rsid w:val="00D6172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23F"/>
    <w:pPr>
      <w:spacing w:after="0" w:line="240" w:lineRule="auto"/>
    </w:pPr>
  </w:style>
  <w:style w:type="character" w:styleId="Hyperlink">
    <w:name w:val="Hyperlink"/>
    <w:basedOn w:val="DefaultParagraphFont"/>
    <w:uiPriority w:val="99"/>
    <w:unhideWhenUsed/>
    <w:rsid w:val="00050ECF"/>
    <w:rPr>
      <w:color w:val="0000FF" w:themeColor="hyperlink"/>
      <w:u w:val="single"/>
    </w:rPr>
  </w:style>
  <w:style w:type="paragraph" w:styleId="Header">
    <w:name w:val="header"/>
    <w:basedOn w:val="Normal"/>
    <w:link w:val="HeaderChar"/>
    <w:uiPriority w:val="99"/>
    <w:unhideWhenUsed/>
    <w:rsid w:val="0092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CC"/>
  </w:style>
  <w:style w:type="paragraph" w:styleId="Footer">
    <w:name w:val="footer"/>
    <w:basedOn w:val="Normal"/>
    <w:link w:val="FooterChar"/>
    <w:uiPriority w:val="99"/>
    <w:unhideWhenUsed/>
    <w:rsid w:val="0092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CC"/>
  </w:style>
  <w:style w:type="paragraph" w:styleId="ListParagraph">
    <w:name w:val="List Paragraph"/>
    <w:basedOn w:val="Normal"/>
    <w:uiPriority w:val="34"/>
    <w:qFormat/>
    <w:rsid w:val="00CD281C"/>
    <w:pPr>
      <w:ind w:left="720"/>
      <w:contextualSpacing/>
    </w:pPr>
  </w:style>
  <w:style w:type="character" w:styleId="CommentReference">
    <w:name w:val="annotation reference"/>
    <w:basedOn w:val="DefaultParagraphFont"/>
    <w:uiPriority w:val="99"/>
    <w:semiHidden/>
    <w:unhideWhenUsed/>
    <w:rsid w:val="00CD281C"/>
    <w:rPr>
      <w:sz w:val="16"/>
      <w:szCs w:val="16"/>
    </w:rPr>
  </w:style>
  <w:style w:type="paragraph" w:styleId="CommentText">
    <w:name w:val="annotation text"/>
    <w:basedOn w:val="Normal"/>
    <w:link w:val="CommentTextChar"/>
    <w:uiPriority w:val="99"/>
    <w:semiHidden/>
    <w:unhideWhenUsed/>
    <w:rsid w:val="00CD281C"/>
    <w:pPr>
      <w:spacing w:line="240" w:lineRule="auto"/>
    </w:pPr>
    <w:rPr>
      <w:sz w:val="20"/>
      <w:szCs w:val="20"/>
    </w:rPr>
  </w:style>
  <w:style w:type="character" w:customStyle="1" w:styleId="CommentTextChar">
    <w:name w:val="Comment Text Char"/>
    <w:basedOn w:val="DefaultParagraphFont"/>
    <w:link w:val="CommentText"/>
    <w:uiPriority w:val="99"/>
    <w:semiHidden/>
    <w:rsid w:val="00CD281C"/>
    <w:rPr>
      <w:sz w:val="20"/>
      <w:szCs w:val="20"/>
    </w:rPr>
  </w:style>
  <w:style w:type="paragraph" w:styleId="BalloonText">
    <w:name w:val="Balloon Text"/>
    <w:basedOn w:val="Normal"/>
    <w:link w:val="BalloonTextChar"/>
    <w:uiPriority w:val="99"/>
    <w:semiHidden/>
    <w:unhideWhenUsed/>
    <w:rsid w:val="00CD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81C"/>
    <w:rPr>
      <w:rFonts w:ascii="Tahoma" w:hAnsi="Tahoma" w:cs="Tahoma"/>
      <w:sz w:val="16"/>
      <w:szCs w:val="16"/>
    </w:rPr>
  </w:style>
  <w:style w:type="paragraph" w:styleId="EndnoteText">
    <w:name w:val="endnote text"/>
    <w:basedOn w:val="Normal"/>
    <w:link w:val="EndnoteTextChar"/>
    <w:unhideWhenUsed/>
    <w:rsid w:val="00164810"/>
    <w:pPr>
      <w:spacing w:after="0" w:line="240" w:lineRule="auto"/>
    </w:pPr>
    <w:rPr>
      <w:rFonts w:cs="Times New Roman"/>
      <w:sz w:val="20"/>
      <w:szCs w:val="20"/>
      <w:lang w:bidi="en-US"/>
    </w:rPr>
  </w:style>
  <w:style w:type="character" w:customStyle="1" w:styleId="EndnoteTextChar">
    <w:name w:val="Endnote Text Char"/>
    <w:basedOn w:val="DefaultParagraphFont"/>
    <w:link w:val="EndnoteText"/>
    <w:rsid w:val="00164810"/>
    <w:rPr>
      <w:rFonts w:cs="Times New Roman"/>
      <w:sz w:val="20"/>
      <w:szCs w:val="20"/>
      <w:lang w:bidi="en-US"/>
    </w:rPr>
  </w:style>
  <w:style w:type="character" w:styleId="EndnoteReference">
    <w:name w:val="endnote reference"/>
    <w:basedOn w:val="DefaultParagraphFont"/>
    <w:uiPriority w:val="99"/>
    <w:semiHidden/>
    <w:unhideWhenUsed/>
    <w:rsid w:val="00164810"/>
    <w:rPr>
      <w:vertAlign w:val="superscript"/>
    </w:rPr>
  </w:style>
  <w:style w:type="paragraph" w:styleId="FootnoteText">
    <w:name w:val="footnote text"/>
    <w:basedOn w:val="Normal"/>
    <w:link w:val="FootnoteTextChar"/>
    <w:uiPriority w:val="99"/>
    <w:semiHidden/>
    <w:unhideWhenUsed/>
    <w:rsid w:val="00D61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720"/>
    <w:rPr>
      <w:sz w:val="20"/>
      <w:szCs w:val="20"/>
    </w:rPr>
  </w:style>
  <w:style w:type="character" w:styleId="FootnoteReference">
    <w:name w:val="footnote reference"/>
    <w:basedOn w:val="DefaultParagraphFont"/>
    <w:uiPriority w:val="99"/>
    <w:semiHidden/>
    <w:unhideWhenUsed/>
    <w:rsid w:val="00D61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7BEBDC-F804-8647-B6CC-B512CEF3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 Henchy</dc:creator>
  <cp:lastModifiedBy>Elyse Homel Vitale</cp:lastModifiedBy>
  <cp:revision>2</cp:revision>
  <cp:lastPrinted>2013-07-03T20:55:00Z</cp:lastPrinted>
  <dcterms:created xsi:type="dcterms:W3CDTF">2013-07-23T17:48:00Z</dcterms:created>
  <dcterms:modified xsi:type="dcterms:W3CDTF">2013-07-23T17:48:00Z</dcterms:modified>
</cp:coreProperties>
</file>